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B96D7" w14:textId="77777777" w:rsidR="007520CE" w:rsidRPr="00091571" w:rsidRDefault="007520CE" w:rsidP="00221B99"/>
    <w:p w14:paraId="59443522" w14:textId="797A765C" w:rsidR="007520CE" w:rsidRPr="00091571" w:rsidRDefault="007520CE" w:rsidP="007520CE">
      <w:pPr>
        <w:rPr>
          <w:rFonts w:ascii="Arial" w:hAnsi="Arial" w:cs="Arial"/>
          <w:b/>
          <w:bCs/>
        </w:rPr>
      </w:pPr>
      <w:r w:rsidRPr="00091571">
        <w:rPr>
          <w:rFonts w:ascii="Arial" w:hAnsi="Arial" w:cs="Arial"/>
        </w:rPr>
        <w:t xml:space="preserve">Comunicato stampa </w:t>
      </w:r>
      <w:r w:rsidRPr="00091571">
        <w:rPr>
          <w:rFonts w:ascii="Arial" w:hAnsi="Arial" w:cs="Arial"/>
        </w:rPr>
        <w:br/>
      </w:r>
      <w:r w:rsidRPr="00091571">
        <w:rPr>
          <w:rFonts w:ascii="Arial" w:hAnsi="Arial" w:cs="Arial"/>
        </w:rPr>
        <w:br/>
        <w:t xml:space="preserve">3 – 9 gennaio – Sala Grande </w:t>
      </w:r>
      <w:r w:rsidRPr="00091571">
        <w:rPr>
          <w:rFonts w:ascii="Arial" w:hAnsi="Arial" w:cs="Arial"/>
        </w:rPr>
        <w:br/>
      </w:r>
      <w:r w:rsidRPr="00091571">
        <w:rPr>
          <w:rFonts w:ascii="Arial" w:hAnsi="Arial" w:cs="Arial"/>
          <w:b/>
          <w:bCs/>
          <w:sz w:val="32"/>
          <w:szCs w:val="32"/>
        </w:rPr>
        <w:t>Il Tenente Colombo</w:t>
      </w:r>
    </w:p>
    <w:p w14:paraId="28B730DF" w14:textId="77777777" w:rsidR="007520CE" w:rsidRPr="00091571" w:rsidRDefault="007520CE" w:rsidP="007520CE">
      <w:pPr>
        <w:rPr>
          <w:rFonts w:ascii="Arial" w:hAnsi="Arial" w:cs="Arial"/>
          <w:b/>
          <w:bCs/>
        </w:rPr>
      </w:pPr>
      <w:r w:rsidRPr="00091571">
        <w:rPr>
          <w:rFonts w:ascii="Arial" w:hAnsi="Arial" w:cs="Arial"/>
          <w:b/>
          <w:bCs/>
        </w:rPr>
        <w:t>Analisi di un omicidio (</w:t>
      </w:r>
      <w:proofErr w:type="spellStart"/>
      <w:r w:rsidRPr="00091571">
        <w:rPr>
          <w:rFonts w:ascii="Arial" w:hAnsi="Arial" w:cs="Arial"/>
          <w:b/>
          <w:bCs/>
        </w:rPr>
        <w:t>Prescription</w:t>
      </w:r>
      <w:proofErr w:type="spellEnd"/>
      <w:r w:rsidRPr="00091571">
        <w:rPr>
          <w:rFonts w:ascii="Arial" w:hAnsi="Arial" w:cs="Arial"/>
          <w:b/>
          <w:bCs/>
        </w:rPr>
        <w:t>: Murder)</w:t>
      </w:r>
    </w:p>
    <w:p w14:paraId="42101D80" w14:textId="16DA947C" w:rsidR="003B6E66" w:rsidRPr="00091571" w:rsidRDefault="003B6E66">
      <w:pPr>
        <w:rPr>
          <w:rFonts w:ascii="Arial" w:hAnsi="Arial" w:cs="Arial"/>
        </w:rPr>
      </w:pPr>
    </w:p>
    <w:p w14:paraId="1E414411" w14:textId="77777777" w:rsidR="00D15E16" w:rsidRPr="00091571" w:rsidRDefault="00D15E16" w:rsidP="00D15E16">
      <w:pPr>
        <w:rPr>
          <w:rFonts w:ascii="Arial" w:hAnsi="Arial" w:cs="Arial"/>
        </w:rPr>
      </w:pPr>
      <w:r w:rsidRPr="00091571">
        <w:rPr>
          <w:rFonts w:ascii="Arial" w:hAnsi="Arial" w:cs="Arial"/>
        </w:rPr>
        <w:t>di Richard Levinson &amp; William Link</w:t>
      </w:r>
      <w:r w:rsidRPr="00091571">
        <w:rPr>
          <w:rFonts w:ascii="Arial" w:hAnsi="Arial" w:cs="Arial"/>
        </w:rPr>
        <w:br/>
        <w:t>traduzione e adattamento di David Conati e Marcello Cotugno</w:t>
      </w:r>
      <w:r w:rsidRPr="00091571">
        <w:rPr>
          <w:rFonts w:ascii="Arial" w:hAnsi="Arial" w:cs="Arial"/>
        </w:rPr>
        <w:br/>
        <w:t>regia </w:t>
      </w:r>
      <w:r w:rsidRPr="00091571">
        <w:rPr>
          <w:rFonts w:ascii="Arial" w:hAnsi="Arial" w:cs="Arial"/>
          <w:b/>
          <w:bCs/>
        </w:rPr>
        <w:t>Marcello Cotugno</w:t>
      </w:r>
      <w:r w:rsidRPr="00091571">
        <w:rPr>
          <w:rFonts w:ascii="Arial" w:hAnsi="Arial" w:cs="Arial"/>
        </w:rPr>
        <w:br/>
        <w:t>con </w:t>
      </w:r>
      <w:r w:rsidRPr="00091571">
        <w:rPr>
          <w:rFonts w:ascii="Arial" w:hAnsi="Arial" w:cs="Arial"/>
          <w:b/>
          <w:bCs/>
        </w:rPr>
        <w:t>Gianluca Ramazzotti</w:t>
      </w:r>
      <w:r w:rsidRPr="00091571">
        <w:rPr>
          <w:rFonts w:ascii="Arial" w:hAnsi="Arial" w:cs="Arial"/>
        </w:rPr>
        <w:t>, Pietro Bontempo, Samuela Sardo, Sara Ricci </w:t>
      </w:r>
      <w:r w:rsidRPr="00091571">
        <w:rPr>
          <w:rFonts w:ascii="Arial" w:hAnsi="Arial" w:cs="Arial"/>
        </w:rPr>
        <w:br/>
        <w:t>e la partecipazione straordinaria di Nini Salerno</w:t>
      </w:r>
      <w:r w:rsidRPr="00091571">
        <w:rPr>
          <w:rFonts w:ascii="Arial" w:hAnsi="Arial" w:cs="Arial"/>
        </w:rPr>
        <w:br/>
        <w:t xml:space="preserve">luci Giuseppe </w:t>
      </w:r>
      <w:proofErr w:type="spellStart"/>
      <w:r w:rsidRPr="00091571">
        <w:rPr>
          <w:rFonts w:ascii="Arial" w:hAnsi="Arial" w:cs="Arial"/>
        </w:rPr>
        <w:t>Filipponio</w:t>
      </w:r>
      <w:proofErr w:type="spellEnd"/>
      <w:r w:rsidRPr="00091571">
        <w:rPr>
          <w:rFonts w:ascii="Arial" w:hAnsi="Arial" w:cs="Arial"/>
        </w:rPr>
        <w:br/>
        <w:t>scene Alessandro Chiti</w:t>
      </w:r>
      <w:r w:rsidRPr="00091571">
        <w:rPr>
          <w:rFonts w:ascii="Arial" w:hAnsi="Arial" w:cs="Arial"/>
        </w:rPr>
        <w:br/>
        <w:t xml:space="preserve">costumi Adele </w:t>
      </w:r>
      <w:proofErr w:type="spellStart"/>
      <w:r w:rsidRPr="00091571">
        <w:rPr>
          <w:rFonts w:ascii="Arial" w:hAnsi="Arial" w:cs="Arial"/>
        </w:rPr>
        <w:t>Bargilli</w:t>
      </w:r>
      <w:proofErr w:type="spellEnd"/>
    </w:p>
    <w:p w14:paraId="48DD0F3A" w14:textId="77777777" w:rsidR="00D15E16" w:rsidRPr="00091571" w:rsidRDefault="00D15E16" w:rsidP="00D15E16">
      <w:pPr>
        <w:rPr>
          <w:rFonts w:ascii="Arial" w:hAnsi="Arial" w:cs="Arial"/>
        </w:rPr>
      </w:pPr>
      <w:r w:rsidRPr="00091571">
        <w:rPr>
          <w:rFonts w:ascii="Arial" w:hAnsi="Arial" w:cs="Arial"/>
        </w:rPr>
        <w:t>produzione OLIVER &amp; FRIENDS e JL RODOMONTE PRODUCTION</w:t>
      </w:r>
    </w:p>
    <w:p w14:paraId="77D2BE7D" w14:textId="77777777" w:rsidR="007520CE" w:rsidRPr="00091571" w:rsidRDefault="007520CE">
      <w:pPr>
        <w:rPr>
          <w:rFonts w:ascii="Arial" w:hAnsi="Arial" w:cs="Arial"/>
        </w:rPr>
      </w:pPr>
    </w:p>
    <w:p w14:paraId="17E78B7D" w14:textId="77777777" w:rsidR="00153954" w:rsidRPr="00091571" w:rsidRDefault="007520CE" w:rsidP="00153954">
      <w:pPr>
        <w:rPr>
          <w:rFonts w:ascii="Arial" w:hAnsi="Arial" w:cs="Arial"/>
        </w:rPr>
      </w:pPr>
      <w:r w:rsidRPr="00091571">
        <w:rPr>
          <w:rFonts w:ascii="Arial" w:hAnsi="Arial" w:cs="Arial"/>
        </w:rPr>
        <w:t>Arriva, dopo cinque anni di sold-out in Inghilterra, America e Francia, per la prima volta a teatro in Italia</w:t>
      </w:r>
      <w:r w:rsidRPr="00091571">
        <w:rPr>
          <w:rFonts w:ascii="Arial" w:hAnsi="Arial" w:cs="Arial"/>
          <w:i/>
          <w:iCs/>
        </w:rPr>
        <w:t>,</w:t>
      </w:r>
      <w:r w:rsidR="00D15E16" w:rsidRPr="00091571">
        <w:rPr>
          <w:rFonts w:ascii="Arial" w:hAnsi="Arial" w:cs="Arial"/>
          <w:i/>
          <w:iCs/>
        </w:rPr>
        <w:t xml:space="preserve"> </w:t>
      </w:r>
      <w:r w:rsidR="00F70EC3" w:rsidRPr="00091571">
        <w:rPr>
          <w:rFonts w:ascii="Arial" w:hAnsi="Arial" w:cs="Arial"/>
          <w:i/>
          <w:iCs/>
        </w:rPr>
        <w:t>Il Tenete Colombo</w:t>
      </w:r>
      <w:r w:rsidR="00F70EC3" w:rsidRPr="00091571">
        <w:rPr>
          <w:rFonts w:ascii="Arial" w:hAnsi="Arial" w:cs="Arial"/>
        </w:rPr>
        <w:t>, uno</w:t>
      </w:r>
      <w:r w:rsidRPr="00091571">
        <w:rPr>
          <w:rFonts w:ascii="Arial" w:hAnsi="Arial" w:cs="Arial"/>
        </w:rPr>
        <w:t xml:space="preserve"> spettacolo </w:t>
      </w:r>
      <w:r w:rsidR="00F70EC3" w:rsidRPr="00091571">
        <w:rPr>
          <w:rFonts w:ascii="Arial" w:hAnsi="Arial" w:cs="Arial"/>
        </w:rPr>
        <w:t xml:space="preserve">nato dalla penna di </w:t>
      </w:r>
      <w:r w:rsidR="00F70EC3" w:rsidRPr="00091571">
        <w:rPr>
          <w:rFonts w:ascii="Arial" w:hAnsi="Arial" w:cs="Arial"/>
        </w:rPr>
        <w:t xml:space="preserve">Richard </w:t>
      </w:r>
      <w:proofErr w:type="spellStart"/>
      <w:r w:rsidR="00F70EC3" w:rsidRPr="00091571">
        <w:rPr>
          <w:rFonts w:ascii="Arial" w:hAnsi="Arial" w:cs="Arial"/>
        </w:rPr>
        <w:t>Levison</w:t>
      </w:r>
      <w:proofErr w:type="spellEnd"/>
      <w:r w:rsidR="00F70EC3" w:rsidRPr="00091571">
        <w:rPr>
          <w:rFonts w:ascii="Arial" w:hAnsi="Arial" w:cs="Arial"/>
        </w:rPr>
        <w:t xml:space="preserve"> &amp; William Link</w:t>
      </w:r>
      <w:r w:rsidR="00F70EC3" w:rsidRPr="00091571">
        <w:rPr>
          <w:rFonts w:ascii="Arial" w:hAnsi="Arial" w:cs="Arial"/>
        </w:rPr>
        <w:t xml:space="preserve">. </w:t>
      </w:r>
      <w:r w:rsidR="00D15E16" w:rsidRPr="00091571">
        <w:rPr>
          <w:rFonts w:ascii="Arial" w:hAnsi="Arial" w:cs="Arial"/>
        </w:rPr>
        <w:t xml:space="preserve">Dal 3 al 9 </w:t>
      </w:r>
      <w:r w:rsidR="00F70EC3" w:rsidRPr="00091571">
        <w:rPr>
          <w:rFonts w:ascii="Arial" w:hAnsi="Arial" w:cs="Arial"/>
        </w:rPr>
        <w:t>g</w:t>
      </w:r>
      <w:r w:rsidR="00D15E16" w:rsidRPr="00091571">
        <w:rPr>
          <w:rFonts w:ascii="Arial" w:hAnsi="Arial" w:cs="Arial"/>
        </w:rPr>
        <w:t>ennaio, nella Sala Grande del Teatro Franco Parenti u</w:t>
      </w:r>
      <w:r w:rsidRPr="00091571">
        <w:rPr>
          <w:rFonts w:ascii="Arial" w:hAnsi="Arial" w:cs="Arial"/>
        </w:rPr>
        <w:t>n giallo emozionante</w:t>
      </w:r>
      <w:r w:rsidR="00F70EC3" w:rsidRPr="00091571">
        <w:rPr>
          <w:rFonts w:ascii="Arial" w:hAnsi="Arial" w:cs="Arial"/>
        </w:rPr>
        <w:t xml:space="preserve"> </w:t>
      </w:r>
      <w:r w:rsidRPr="00091571">
        <w:rPr>
          <w:rFonts w:ascii="Arial" w:hAnsi="Arial" w:cs="Arial"/>
        </w:rPr>
        <w:t>che ha tenuto banco a Broadway per diversi anni.</w:t>
      </w:r>
    </w:p>
    <w:p w14:paraId="70F0752F" w14:textId="5A1D78EB" w:rsidR="00153954" w:rsidRPr="00091571" w:rsidRDefault="00153954" w:rsidP="00153954">
      <w:pPr>
        <w:rPr>
          <w:rFonts w:ascii="Arial" w:hAnsi="Arial" w:cs="Arial"/>
        </w:rPr>
      </w:pPr>
      <w:proofErr w:type="spellStart"/>
      <w:r w:rsidRPr="00091571">
        <w:rPr>
          <w:rFonts w:ascii="Arial" w:hAnsi="Arial" w:cs="Arial"/>
          <w:i/>
          <w:iCs/>
        </w:rPr>
        <w:t>Prescription</w:t>
      </w:r>
      <w:proofErr w:type="spellEnd"/>
      <w:r w:rsidRPr="00091571">
        <w:rPr>
          <w:rFonts w:ascii="Arial" w:hAnsi="Arial" w:cs="Arial"/>
          <w:i/>
          <w:iCs/>
        </w:rPr>
        <w:t>: Murder</w:t>
      </w:r>
      <w:r w:rsidRPr="00091571">
        <w:rPr>
          <w:rFonts w:ascii="Arial" w:hAnsi="Arial" w:cs="Arial"/>
        </w:rPr>
        <w:t>, questo il titolo originale della pièce</w:t>
      </w:r>
      <w:r w:rsidRPr="00091571">
        <w:rPr>
          <w:rFonts w:ascii="Arial" w:hAnsi="Arial" w:cs="Arial"/>
        </w:rPr>
        <w:t xml:space="preserve"> ebbe un </w:t>
      </w:r>
      <w:r w:rsidRPr="00091571">
        <w:rPr>
          <w:rFonts w:ascii="Arial" w:hAnsi="Arial" w:cs="Arial"/>
        </w:rPr>
        <w:t>successo immediato e diede inizio alla popolare serie televisiva</w:t>
      </w:r>
      <w:r w:rsidRPr="00091571">
        <w:rPr>
          <w:rFonts w:ascii="Arial" w:hAnsi="Arial" w:cs="Arial"/>
        </w:rPr>
        <w:t xml:space="preserve"> del 1968 </w:t>
      </w:r>
      <w:r w:rsidRPr="00091571">
        <w:rPr>
          <w:rFonts w:ascii="Arial" w:hAnsi="Arial" w:cs="Arial"/>
        </w:rPr>
        <w:t xml:space="preserve">con protagonista Peter Falk nel ruolo del Tenente e Gene Barry in quelli dello psichiatra. </w:t>
      </w:r>
    </w:p>
    <w:p w14:paraId="53CC7B7E" w14:textId="77777777" w:rsidR="00153954" w:rsidRPr="00091571" w:rsidRDefault="00153954" w:rsidP="00153954">
      <w:pPr>
        <w:rPr>
          <w:rFonts w:ascii="Arial" w:hAnsi="Arial" w:cs="Arial"/>
        </w:rPr>
      </w:pPr>
    </w:p>
    <w:p w14:paraId="002CFD96" w14:textId="77777777" w:rsidR="00153954" w:rsidRPr="00091571" w:rsidRDefault="00153954" w:rsidP="00153954">
      <w:pPr>
        <w:rPr>
          <w:rFonts w:ascii="Arial" w:hAnsi="Arial" w:cs="Arial"/>
        </w:rPr>
      </w:pPr>
      <w:r w:rsidRPr="00091571">
        <w:rPr>
          <w:rFonts w:ascii="Arial" w:hAnsi="Arial" w:cs="Arial"/>
        </w:rPr>
        <w:t xml:space="preserve">In </w:t>
      </w:r>
      <w:proofErr w:type="spellStart"/>
      <w:r w:rsidRPr="00091571">
        <w:rPr>
          <w:rFonts w:ascii="Arial" w:hAnsi="Arial" w:cs="Arial"/>
          <w:i/>
          <w:iCs/>
        </w:rPr>
        <w:t>Prescription</w:t>
      </w:r>
      <w:proofErr w:type="spellEnd"/>
      <w:r w:rsidRPr="00091571">
        <w:rPr>
          <w:rFonts w:ascii="Arial" w:hAnsi="Arial" w:cs="Arial"/>
          <w:i/>
          <w:iCs/>
        </w:rPr>
        <w:t>: Murder</w:t>
      </w:r>
      <w:r w:rsidRPr="00091571">
        <w:rPr>
          <w:rFonts w:ascii="Arial" w:hAnsi="Arial" w:cs="Arial"/>
        </w:rPr>
        <w:t xml:space="preserve">, questo il titolo originale della pièce, si trovano già tutti i temi e lo stile del personaggio di Colombo che i due autori americani avevano creato ispirandosi al detective </w:t>
      </w:r>
      <w:proofErr w:type="spellStart"/>
      <w:r w:rsidRPr="00091571">
        <w:rPr>
          <w:rFonts w:ascii="Arial" w:hAnsi="Arial" w:cs="Arial"/>
        </w:rPr>
        <w:t>Porfiry</w:t>
      </w:r>
      <w:proofErr w:type="spellEnd"/>
      <w:r w:rsidRPr="00091571">
        <w:rPr>
          <w:rFonts w:ascii="Arial" w:hAnsi="Arial" w:cs="Arial"/>
        </w:rPr>
        <w:t xml:space="preserve"> </w:t>
      </w:r>
      <w:proofErr w:type="spellStart"/>
      <w:r w:rsidRPr="00091571">
        <w:rPr>
          <w:rFonts w:ascii="Arial" w:hAnsi="Arial" w:cs="Arial"/>
        </w:rPr>
        <w:t>Petrovitch</w:t>
      </w:r>
      <w:proofErr w:type="spellEnd"/>
      <w:r w:rsidRPr="00091571">
        <w:rPr>
          <w:rFonts w:ascii="Arial" w:hAnsi="Arial" w:cs="Arial"/>
        </w:rPr>
        <w:t xml:space="preserve"> di Delitto e Castigo di Dostoevskij: un uomo trasandato e maldestro, che apparentemente ama compiacere gli altri e che tende a sminuire le sue doti d’investigatore e di uomo, ma che in realtà è sagace e ironico, un fine conoscitore della natura umana, capace di apparire e scomparire nei luoghi e nei momenti più impensati con infallibile tempismo. </w:t>
      </w:r>
    </w:p>
    <w:p w14:paraId="121D114A" w14:textId="77777777" w:rsidR="00153954" w:rsidRPr="00091571" w:rsidRDefault="00153954" w:rsidP="00153954">
      <w:pPr>
        <w:rPr>
          <w:rFonts w:ascii="Arial" w:hAnsi="Arial" w:cs="Arial"/>
        </w:rPr>
      </w:pPr>
    </w:p>
    <w:p w14:paraId="5D7CE300" w14:textId="0F35C648" w:rsidR="00F70EC3" w:rsidRPr="00091571" w:rsidRDefault="007520CE" w:rsidP="00F70EC3">
      <w:pPr>
        <w:rPr>
          <w:rFonts w:ascii="Arial" w:hAnsi="Arial" w:cs="Arial"/>
        </w:rPr>
      </w:pPr>
      <w:r w:rsidRPr="00091571">
        <w:rPr>
          <w:rFonts w:ascii="Arial" w:hAnsi="Arial" w:cs="Arial"/>
        </w:rPr>
        <w:t xml:space="preserve"> </w:t>
      </w:r>
      <w:r w:rsidR="00F70EC3" w:rsidRPr="00091571">
        <w:rPr>
          <w:rFonts w:ascii="Arial" w:hAnsi="Arial" w:cs="Arial"/>
          <w:i/>
          <w:iCs/>
        </w:rPr>
        <w:t xml:space="preserve">Il Tenete Colombo </w:t>
      </w:r>
      <w:r w:rsidR="00F70EC3" w:rsidRPr="00091571">
        <w:rPr>
          <w:rFonts w:ascii="Arial" w:hAnsi="Arial" w:cs="Arial"/>
        </w:rPr>
        <w:t>ha dato vita ad un modo nuovo di raccontare un giallo:</w:t>
      </w:r>
      <w:r w:rsidR="00F70EC3" w:rsidRPr="00091571">
        <w:rPr>
          <w:rFonts w:ascii="Arial" w:hAnsi="Arial" w:cs="Arial"/>
          <w:i/>
          <w:iCs/>
        </w:rPr>
        <w:t xml:space="preserve"> </w:t>
      </w:r>
      <w:r w:rsidR="00F70EC3" w:rsidRPr="00091571">
        <w:rPr>
          <w:rFonts w:ascii="Arial" w:hAnsi="Arial" w:cs="Arial"/>
        </w:rPr>
        <w:t>per</w:t>
      </w:r>
      <w:r w:rsidRPr="00091571">
        <w:rPr>
          <w:rFonts w:ascii="Arial" w:hAnsi="Arial" w:cs="Arial"/>
        </w:rPr>
        <w:t xml:space="preserve"> la prima volta</w:t>
      </w:r>
      <w:r w:rsidR="00F70EC3" w:rsidRPr="00091571">
        <w:rPr>
          <w:rFonts w:ascii="Arial" w:hAnsi="Arial" w:cs="Arial"/>
        </w:rPr>
        <w:t>,</w:t>
      </w:r>
      <w:r w:rsidRPr="00091571">
        <w:rPr>
          <w:rFonts w:ascii="Arial" w:hAnsi="Arial" w:cs="Arial"/>
        </w:rPr>
        <w:t xml:space="preserve"> il pubblico assiste al delitto guardando negli occhi l’assassino che prepara l’omicidio perfetto, una vera e propria “rivoluzione” </w:t>
      </w:r>
      <w:r w:rsidR="00F70EC3" w:rsidRPr="00091571">
        <w:rPr>
          <w:rFonts w:ascii="Arial" w:hAnsi="Arial" w:cs="Arial"/>
        </w:rPr>
        <w:t>rispetto al passato,</w:t>
      </w:r>
      <w:r w:rsidRPr="00091571">
        <w:rPr>
          <w:rFonts w:ascii="Arial" w:hAnsi="Arial" w:cs="Arial"/>
        </w:rPr>
        <w:t xml:space="preserve"> solitamente</w:t>
      </w:r>
      <w:r w:rsidR="007D712F" w:rsidRPr="00091571">
        <w:rPr>
          <w:rFonts w:ascii="Arial" w:hAnsi="Arial" w:cs="Arial"/>
        </w:rPr>
        <w:t xml:space="preserve"> infatti,</w:t>
      </w:r>
      <w:r w:rsidRPr="00091571">
        <w:rPr>
          <w:rFonts w:ascii="Arial" w:hAnsi="Arial" w:cs="Arial"/>
        </w:rPr>
        <w:t xml:space="preserve"> l’identità dell’assassino si scopriva solo nell’ultima scena. </w:t>
      </w:r>
    </w:p>
    <w:p w14:paraId="283C94C2" w14:textId="77777777" w:rsidR="00153954" w:rsidRPr="00091571" w:rsidRDefault="00153954" w:rsidP="00F70EC3">
      <w:pPr>
        <w:rPr>
          <w:rFonts w:ascii="Arial" w:hAnsi="Arial" w:cs="Arial"/>
        </w:rPr>
      </w:pPr>
    </w:p>
    <w:p w14:paraId="24A6E061" w14:textId="32E22DDB" w:rsidR="007520CE" w:rsidRPr="00091571" w:rsidRDefault="00D15E16" w:rsidP="00153954">
      <w:pPr>
        <w:rPr>
          <w:rFonts w:ascii="Arial" w:hAnsi="Arial" w:cs="Arial"/>
        </w:rPr>
      </w:pPr>
      <w:r w:rsidRPr="00091571">
        <w:rPr>
          <w:rFonts w:ascii="Arial" w:hAnsi="Arial" w:cs="Arial"/>
        </w:rPr>
        <w:t>L</w:t>
      </w:r>
      <w:r w:rsidR="007520CE" w:rsidRPr="00091571">
        <w:rPr>
          <w:rFonts w:ascii="Arial" w:hAnsi="Arial" w:cs="Arial"/>
        </w:rPr>
        <w:t>o spettatore è da subito testimone dell’omicidio: il dottor Fleming è un brillante psichiatra di New York, che non riesce più a tollerare il matrimonio con la moglie, una donna possessiva che ha sposato solo perché ricca. Assieme alla sua giovane amante Susan, un’attrice di soap, architetta il piano perfetto per uccidere la moglie. Ma sulla sua strada troverà il tenente Colombo. Dalla prima scena in poi, il racconto si dipana non sulla traccia del “chi è stato” come accade in Agatha Christie, ma sul filo del “come fare a prenderlo”, con il modesto ma acuto Colombo che lavora ostinatamente per smascherare l’alibi “perfetto” dell’assassino. Un indizio apparentemente insignificante alla volta - lacci delle scarpe, caviale, aria condizionata – il duello tra Colombo e lo psichiatra si dipana fino ad arrivare ad un sorprendente epilogo.</w:t>
      </w:r>
    </w:p>
    <w:p w14:paraId="6494DCD7" w14:textId="77777777" w:rsidR="007520CE" w:rsidRPr="00091571" w:rsidRDefault="007520CE" w:rsidP="007520CE">
      <w:pPr>
        <w:rPr>
          <w:rFonts w:ascii="Arial" w:hAnsi="Arial" w:cs="Arial"/>
        </w:rPr>
      </w:pPr>
    </w:p>
    <w:p w14:paraId="3281EF20" w14:textId="77777777" w:rsidR="007520CE" w:rsidRPr="00091571" w:rsidRDefault="007520CE" w:rsidP="007520CE">
      <w:pPr>
        <w:rPr>
          <w:rFonts w:ascii="Arial" w:hAnsi="Arial" w:cs="Arial"/>
        </w:rPr>
      </w:pPr>
    </w:p>
    <w:p w14:paraId="72FC3BBD" w14:textId="77777777" w:rsidR="007520CE" w:rsidRPr="00091571" w:rsidRDefault="007520CE" w:rsidP="007520CE">
      <w:pPr>
        <w:rPr>
          <w:rFonts w:ascii="Franklin Gothic Book" w:hAnsi="Franklin Gothic Book" w:cs="Arial"/>
        </w:rPr>
      </w:pPr>
    </w:p>
    <w:p w14:paraId="1FA2B0DC" w14:textId="77777777" w:rsidR="007520CE" w:rsidRPr="00091571" w:rsidRDefault="007520CE" w:rsidP="007520CE">
      <w:pPr>
        <w:rPr>
          <w:rFonts w:ascii="Franklin Gothic Book" w:hAnsi="Franklin Gothic Book" w:cs="Arial"/>
        </w:rPr>
      </w:pPr>
    </w:p>
    <w:p w14:paraId="07706AD2" w14:textId="2D82FFFB" w:rsidR="007520CE" w:rsidRPr="00091571" w:rsidRDefault="007520CE" w:rsidP="007520CE">
      <w:pPr>
        <w:rPr>
          <w:rFonts w:ascii="Franklin Gothic Book" w:hAnsi="Franklin Gothic Book" w:cs="Arial"/>
          <w:i/>
          <w:iCs/>
        </w:rPr>
      </w:pPr>
      <w:r w:rsidRPr="00091571">
        <w:rPr>
          <w:rFonts w:ascii="Franklin Gothic Book" w:hAnsi="Franklin Gothic Book" w:cs="Arial"/>
          <w:i/>
          <w:iCs/>
        </w:rPr>
        <w:t>Note di regia</w:t>
      </w:r>
      <w:r w:rsidRPr="00091571">
        <w:rPr>
          <w:rFonts w:ascii="Franklin Gothic Book" w:hAnsi="Franklin Gothic Book" w:cs="Arial"/>
          <w:i/>
          <w:iCs/>
        </w:rPr>
        <w:br/>
      </w:r>
    </w:p>
    <w:p w14:paraId="312DFD20" w14:textId="5B9E1EB6" w:rsidR="007520CE" w:rsidRPr="00091571" w:rsidRDefault="007520CE" w:rsidP="007520CE">
      <w:pPr>
        <w:rPr>
          <w:rFonts w:ascii="Franklin Gothic Book" w:hAnsi="Franklin Gothic Book" w:cs="Arial"/>
        </w:rPr>
      </w:pPr>
      <w:r w:rsidRPr="00091571">
        <w:rPr>
          <w:rFonts w:ascii="Franklin Gothic Book" w:hAnsi="Franklin Gothic Book" w:cs="Arial"/>
        </w:rPr>
        <w:t>Forse pochi sanno che </w:t>
      </w:r>
      <w:r w:rsidRPr="00091571">
        <w:rPr>
          <w:rFonts w:ascii="Franklin Gothic Book" w:hAnsi="Franklin Gothic Book" w:cs="Arial"/>
          <w:i/>
          <w:iCs/>
        </w:rPr>
        <w:t>Il Tenente Colombo</w:t>
      </w:r>
      <w:r w:rsidRPr="00091571">
        <w:rPr>
          <w:rFonts w:ascii="Franklin Gothic Book" w:hAnsi="Franklin Gothic Book" w:cs="Arial"/>
        </w:rPr>
        <w:t xml:space="preserve">, uno dei telefilm </w:t>
      </w:r>
      <w:r w:rsidR="00D15E16" w:rsidRPr="00091571">
        <w:rPr>
          <w:rFonts w:ascii="Franklin Gothic Book" w:hAnsi="Franklin Gothic Book" w:cs="Arial"/>
        </w:rPr>
        <w:t>più</w:t>
      </w:r>
      <w:r w:rsidRPr="00091571">
        <w:rPr>
          <w:rFonts w:ascii="Franklin Gothic Book" w:hAnsi="Franklin Gothic Book" w:cs="Arial"/>
        </w:rPr>
        <w:t>̀ noti e seguiti degli anni ’70 e ’80, nasce da un testo teatrale: </w:t>
      </w:r>
      <w:proofErr w:type="spellStart"/>
      <w:r w:rsidRPr="00091571">
        <w:rPr>
          <w:rFonts w:ascii="Franklin Gothic Book" w:hAnsi="Franklin Gothic Book" w:cs="Arial"/>
          <w:i/>
          <w:iCs/>
        </w:rPr>
        <w:t>Prescription</w:t>
      </w:r>
      <w:proofErr w:type="spellEnd"/>
      <w:r w:rsidRPr="00091571">
        <w:rPr>
          <w:rFonts w:ascii="Franklin Gothic Book" w:hAnsi="Franklin Gothic Book" w:cs="Arial"/>
          <w:i/>
          <w:iCs/>
        </w:rPr>
        <w:t>: Murder</w:t>
      </w:r>
      <w:r w:rsidRPr="00091571">
        <w:rPr>
          <w:rFonts w:ascii="Franklin Gothic Book" w:hAnsi="Franklin Gothic Book" w:cs="Arial"/>
        </w:rPr>
        <w:t>, scritto nel 1962 da William Link e Richard Levinson, e andato in scena per la prima volta al Curran Theatre di San Francisco nello stesso anno. Autori di noir di successo come </w:t>
      </w:r>
      <w:r w:rsidRPr="00091571">
        <w:rPr>
          <w:rFonts w:ascii="Franklin Gothic Book" w:hAnsi="Franklin Gothic Book" w:cs="Arial"/>
          <w:i/>
          <w:iCs/>
        </w:rPr>
        <w:t xml:space="preserve">Murder, </w:t>
      </w:r>
      <w:proofErr w:type="spellStart"/>
      <w:r w:rsidRPr="00091571">
        <w:rPr>
          <w:rFonts w:ascii="Franklin Gothic Book" w:hAnsi="Franklin Gothic Book" w:cs="Arial"/>
          <w:i/>
          <w:iCs/>
        </w:rPr>
        <w:t>she</w:t>
      </w:r>
      <w:proofErr w:type="spellEnd"/>
      <w:r w:rsidRPr="00091571">
        <w:rPr>
          <w:rFonts w:ascii="Franklin Gothic Book" w:hAnsi="Franklin Gothic Book" w:cs="Arial"/>
          <w:i/>
          <w:iCs/>
        </w:rPr>
        <w:t xml:space="preserve"> </w:t>
      </w:r>
      <w:proofErr w:type="spellStart"/>
      <w:r w:rsidRPr="00091571">
        <w:rPr>
          <w:rFonts w:ascii="Franklin Gothic Book" w:hAnsi="Franklin Gothic Book" w:cs="Arial"/>
          <w:i/>
          <w:iCs/>
        </w:rPr>
        <w:t>wrote</w:t>
      </w:r>
      <w:proofErr w:type="spellEnd"/>
      <w:r w:rsidRPr="00091571">
        <w:rPr>
          <w:rFonts w:ascii="Franklin Gothic Book" w:hAnsi="Franklin Gothic Book" w:cs="Arial"/>
        </w:rPr>
        <w:t xml:space="preserve"> (La signora in giallo) </w:t>
      </w:r>
      <w:proofErr w:type="gramStart"/>
      <w:r w:rsidRPr="00091571">
        <w:rPr>
          <w:rFonts w:ascii="Franklin Gothic Book" w:hAnsi="Franklin Gothic Book" w:cs="Arial"/>
        </w:rPr>
        <w:t>e</w:t>
      </w:r>
      <w:proofErr w:type="gramEnd"/>
      <w:r w:rsidRPr="00091571">
        <w:rPr>
          <w:rFonts w:ascii="Franklin Gothic Book" w:hAnsi="Franklin Gothic Book" w:cs="Arial"/>
        </w:rPr>
        <w:t> </w:t>
      </w:r>
      <w:r w:rsidRPr="00091571">
        <w:rPr>
          <w:rFonts w:ascii="Franklin Gothic Book" w:hAnsi="Franklin Gothic Book" w:cs="Arial"/>
          <w:i/>
          <w:iCs/>
        </w:rPr>
        <w:t xml:space="preserve">Ellery Queen: </w:t>
      </w:r>
      <w:proofErr w:type="spellStart"/>
      <w:r w:rsidRPr="00091571">
        <w:rPr>
          <w:rFonts w:ascii="Franklin Gothic Book" w:hAnsi="Franklin Gothic Book" w:cs="Arial"/>
          <w:i/>
          <w:iCs/>
        </w:rPr>
        <w:t>Don’t</w:t>
      </w:r>
      <w:proofErr w:type="spellEnd"/>
      <w:r w:rsidRPr="00091571">
        <w:rPr>
          <w:rFonts w:ascii="Franklin Gothic Book" w:hAnsi="Franklin Gothic Book" w:cs="Arial"/>
          <w:i/>
          <w:iCs/>
        </w:rPr>
        <w:t xml:space="preserve"> look </w:t>
      </w:r>
      <w:proofErr w:type="spellStart"/>
      <w:r w:rsidRPr="00091571">
        <w:rPr>
          <w:rFonts w:ascii="Franklin Gothic Book" w:hAnsi="Franklin Gothic Book" w:cs="Arial"/>
          <w:i/>
          <w:iCs/>
        </w:rPr>
        <w:t>behind</w:t>
      </w:r>
      <w:proofErr w:type="spellEnd"/>
      <w:r w:rsidRPr="00091571">
        <w:rPr>
          <w:rFonts w:ascii="Franklin Gothic Book" w:hAnsi="Franklin Gothic Book" w:cs="Arial"/>
          <w:i/>
          <w:iCs/>
        </w:rPr>
        <w:t xml:space="preserve"> </w:t>
      </w:r>
      <w:proofErr w:type="spellStart"/>
      <w:r w:rsidRPr="00091571">
        <w:rPr>
          <w:rFonts w:ascii="Franklin Gothic Book" w:hAnsi="Franklin Gothic Book" w:cs="Arial"/>
          <w:i/>
          <w:iCs/>
        </w:rPr>
        <w:t>you</w:t>
      </w:r>
      <w:proofErr w:type="spellEnd"/>
      <w:r w:rsidRPr="00091571">
        <w:rPr>
          <w:rFonts w:ascii="Franklin Gothic Book" w:hAnsi="Franklin Gothic Book" w:cs="Arial"/>
          <w:i/>
          <w:iCs/>
        </w:rPr>
        <w:t xml:space="preserve">, </w:t>
      </w:r>
      <w:proofErr w:type="spellStart"/>
      <w:r w:rsidRPr="00091571">
        <w:rPr>
          <w:rFonts w:ascii="Franklin Gothic Book" w:hAnsi="Franklin Gothic Book" w:cs="Arial"/>
          <w:i/>
          <w:iCs/>
        </w:rPr>
        <w:t>Mannix</w:t>
      </w:r>
      <w:proofErr w:type="spellEnd"/>
      <w:r w:rsidRPr="00091571">
        <w:rPr>
          <w:rFonts w:ascii="Franklin Gothic Book" w:hAnsi="Franklin Gothic Book" w:cs="Arial"/>
        </w:rPr>
        <w:t>, i due autori si erano conosciuti al liceo e avevano subito iniziato a collaborare su quella che era lo grande passione: i gialli. Il testo ebbe un tale successo – nelle sale teatrali americane e canadesi – che nel 1968 ne fu realizzato un film TV, con Peter Falk nel ruolo che lo avrebbe poi reso celebre in tutto il mondo. Il primo episodio della serie TV, </w:t>
      </w:r>
      <w:r w:rsidRPr="00091571">
        <w:rPr>
          <w:rFonts w:ascii="Franklin Gothic Book" w:hAnsi="Franklin Gothic Book" w:cs="Arial"/>
          <w:i/>
          <w:iCs/>
        </w:rPr>
        <w:t>Un giallo da manuale</w:t>
      </w:r>
      <w:r w:rsidRPr="00091571">
        <w:rPr>
          <w:rFonts w:ascii="Franklin Gothic Book" w:hAnsi="Franklin Gothic Book" w:cs="Arial"/>
        </w:rPr>
        <w:t>, del 1971, fu diretto da un giovanissimo Steven Spielberg.</w:t>
      </w:r>
    </w:p>
    <w:p w14:paraId="4C548CAA" w14:textId="3B477C08" w:rsidR="007520CE" w:rsidRPr="00091571" w:rsidRDefault="007520CE" w:rsidP="007520CE">
      <w:pPr>
        <w:rPr>
          <w:rFonts w:ascii="Franklin Gothic Book" w:hAnsi="Franklin Gothic Book" w:cs="Arial"/>
        </w:rPr>
      </w:pPr>
      <w:r w:rsidRPr="00091571">
        <w:rPr>
          <w:rFonts w:ascii="Franklin Gothic Book" w:hAnsi="Franklin Gothic Book" w:cs="Arial"/>
        </w:rPr>
        <w:t>In</w:t>
      </w:r>
      <w:r w:rsidRPr="00091571">
        <w:rPr>
          <w:rFonts w:ascii="Franklin Gothic Book" w:hAnsi="Franklin Gothic Book" w:cs="Arial"/>
          <w:i/>
          <w:iCs/>
        </w:rPr>
        <w:t> Prescrizione: assassinio</w:t>
      </w:r>
      <w:r w:rsidRPr="00091571">
        <w:rPr>
          <w:rFonts w:ascii="Franklin Gothic Book" w:hAnsi="Franklin Gothic Book" w:cs="Arial"/>
        </w:rPr>
        <w:t xml:space="preserve"> si trovano </w:t>
      </w:r>
      <w:r w:rsidR="00D15E16" w:rsidRPr="00091571">
        <w:rPr>
          <w:rFonts w:ascii="Franklin Gothic Book" w:hAnsi="Franklin Gothic Book" w:cs="Arial"/>
        </w:rPr>
        <w:t>già</w:t>
      </w:r>
      <w:r w:rsidRPr="00091571">
        <w:rPr>
          <w:rFonts w:ascii="Franklin Gothic Book" w:hAnsi="Franklin Gothic Book" w:cs="Arial"/>
        </w:rPr>
        <w:t xml:space="preserve">̀ tutti i temi e lo stile del personaggio di Colombo che i due autori americani avevano creato ispirandosi al detective </w:t>
      </w:r>
      <w:proofErr w:type="spellStart"/>
      <w:r w:rsidRPr="00091571">
        <w:rPr>
          <w:rFonts w:ascii="Franklin Gothic Book" w:hAnsi="Franklin Gothic Book" w:cs="Arial"/>
        </w:rPr>
        <w:t>Porfirij</w:t>
      </w:r>
      <w:proofErr w:type="spellEnd"/>
      <w:r w:rsidRPr="00091571">
        <w:rPr>
          <w:rFonts w:ascii="Franklin Gothic Book" w:hAnsi="Franklin Gothic Book" w:cs="Arial"/>
        </w:rPr>
        <w:t xml:space="preserve"> </w:t>
      </w:r>
      <w:proofErr w:type="spellStart"/>
      <w:r w:rsidRPr="00091571">
        <w:rPr>
          <w:rFonts w:ascii="Franklin Gothic Book" w:hAnsi="Franklin Gothic Book" w:cs="Arial"/>
        </w:rPr>
        <w:t>Petrovič</w:t>
      </w:r>
      <w:proofErr w:type="spellEnd"/>
      <w:r w:rsidRPr="00091571">
        <w:rPr>
          <w:rFonts w:ascii="Franklin Gothic Book" w:hAnsi="Franklin Gothic Book" w:cs="Arial"/>
        </w:rPr>
        <w:t xml:space="preserve"> di </w:t>
      </w:r>
      <w:r w:rsidRPr="00091571">
        <w:rPr>
          <w:rFonts w:ascii="Franklin Gothic Book" w:hAnsi="Franklin Gothic Book" w:cs="Arial"/>
          <w:i/>
          <w:iCs/>
        </w:rPr>
        <w:t>Delitto e Castigo</w:t>
      </w:r>
      <w:r w:rsidRPr="00091571">
        <w:rPr>
          <w:rFonts w:ascii="Franklin Gothic Book" w:hAnsi="Franklin Gothic Book" w:cs="Arial"/>
        </w:rPr>
        <w:t xml:space="preserve"> di Dostoevskij: un uomo trasandato e maldestro, che apparentemente ama compiacere gli altri e che tende a sminuire le sue doti d’investigatore e di uomo, ma che in </w:t>
      </w:r>
      <w:r w:rsidR="00D15E16" w:rsidRPr="00091571">
        <w:rPr>
          <w:rFonts w:ascii="Franklin Gothic Book" w:hAnsi="Franklin Gothic Book" w:cs="Arial"/>
        </w:rPr>
        <w:t>realtà</w:t>
      </w:r>
      <w:r w:rsidRPr="00091571">
        <w:rPr>
          <w:rFonts w:ascii="Franklin Gothic Book" w:hAnsi="Franklin Gothic Book" w:cs="Arial"/>
        </w:rPr>
        <w:t xml:space="preserve">̀ è sagace e ironico, un fine conoscitore della natura umana, capace di apparire e scomparire nei luoghi e nei momenti </w:t>
      </w:r>
      <w:r w:rsidR="00D15E16" w:rsidRPr="00091571">
        <w:rPr>
          <w:rFonts w:ascii="Franklin Gothic Book" w:hAnsi="Franklin Gothic Book" w:cs="Arial"/>
        </w:rPr>
        <w:t>più</w:t>
      </w:r>
      <w:r w:rsidRPr="00091571">
        <w:rPr>
          <w:rFonts w:ascii="Franklin Gothic Book" w:hAnsi="Franklin Gothic Book" w:cs="Arial"/>
        </w:rPr>
        <w:t xml:space="preserve">̀ impensati con infallibile tempismo. Ma Colombo è anche il poliziotto proletario che consegna alla giustizia criminali che appartengono a classi agiate e che lo sottovalutano, giudicandolo in base alle apparenze. Un eroe della lotta di classe. Ma non solo, Colombo presta attenzione al suo lavoro 24 ore al giorno, appare distratto, magari perde in continuazione le penne, ma non perde mai il focus sul caso da risolvere. E, in un’epoca dove l’attenzione è diventata una </w:t>
      </w:r>
      <w:r w:rsidR="00D15E16" w:rsidRPr="00091571">
        <w:rPr>
          <w:rFonts w:ascii="Franklin Gothic Book" w:hAnsi="Franklin Gothic Book" w:cs="Arial"/>
        </w:rPr>
        <w:t>virtù</w:t>
      </w:r>
      <w:r w:rsidRPr="00091571">
        <w:rPr>
          <w:rFonts w:ascii="Franklin Gothic Book" w:hAnsi="Franklin Gothic Book" w:cs="Arial"/>
        </w:rPr>
        <w:t>̀ rara, e la disattenzione un’abitudine, ecco che il personaggio di Colombo si manifesta nella sua impressionante attualità̀.</w:t>
      </w:r>
    </w:p>
    <w:p w14:paraId="79C0DB64" w14:textId="77777777" w:rsidR="00D15E16" w:rsidRPr="00091571" w:rsidRDefault="007520CE" w:rsidP="007520CE">
      <w:pPr>
        <w:rPr>
          <w:rFonts w:ascii="Franklin Gothic Book" w:hAnsi="Franklin Gothic Book" w:cs="Arial"/>
        </w:rPr>
      </w:pPr>
      <w:r w:rsidRPr="00091571">
        <w:rPr>
          <w:rFonts w:ascii="Franklin Gothic Book" w:hAnsi="Franklin Gothic Book" w:cs="Arial"/>
        </w:rPr>
        <w:t>Come in tutti i telefilm che seguiranno, anche in </w:t>
      </w:r>
      <w:r w:rsidRPr="00091571">
        <w:rPr>
          <w:rFonts w:ascii="Franklin Gothic Book" w:hAnsi="Franklin Gothic Book" w:cs="Arial"/>
          <w:i/>
          <w:iCs/>
        </w:rPr>
        <w:t>Prescrizione: assassinio</w:t>
      </w:r>
      <w:r w:rsidRPr="00091571">
        <w:rPr>
          <w:rFonts w:ascii="Franklin Gothic Book" w:hAnsi="Franklin Gothic Book" w:cs="Arial"/>
        </w:rPr>
        <w:t xml:space="preserve">, lo spettatore è da subito testimone dell’omicidio: il dottor Fleming è un brillante psichiatra di New York, che non riesce più a tollerare il matrimonio con la moglie, una donna possessiva che ha sposato solo perché ricca. Assieme alla sua giovane amante Susan, un’attrice di soap, architetta il piano perfetto per uccidere la moglie. Ma sulla sua strada troverà il tenente Colombo. </w:t>
      </w:r>
    </w:p>
    <w:p w14:paraId="789555EE" w14:textId="79743276" w:rsidR="007520CE" w:rsidRPr="00091571" w:rsidRDefault="007520CE" w:rsidP="007520CE">
      <w:pPr>
        <w:rPr>
          <w:rFonts w:ascii="Franklin Gothic Book" w:hAnsi="Franklin Gothic Book" w:cs="Arial"/>
        </w:rPr>
      </w:pPr>
      <w:r w:rsidRPr="00091571">
        <w:rPr>
          <w:rFonts w:ascii="Franklin Gothic Book" w:hAnsi="Franklin Gothic Book" w:cs="Arial"/>
        </w:rPr>
        <w:t>Marcello Cotugno</w:t>
      </w:r>
    </w:p>
    <w:p w14:paraId="75EBD50D" w14:textId="77777777" w:rsidR="007520CE" w:rsidRPr="00091571" w:rsidRDefault="007520CE" w:rsidP="007520CE">
      <w:pPr>
        <w:rPr>
          <w:rFonts w:ascii="Franklin Gothic Book" w:hAnsi="Franklin Gothic Book" w:cs="Arial"/>
        </w:rPr>
      </w:pPr>
    </w:p>
    <w:p w14:paraId="431281DC" w14:textId="77777777" w:rsidR="007520CE" w:rsidRPr="00091571" w:rsidRDefault="007520CE" w:rsidP="007520CE">
      <w:pPr>
        <w:rPr>
          <w:rFonts w:ascii="Arial" w:hAnsi="Arial" w:cs="Arial"/>
        </w:rPr>
      </w:pPr>
    </w:p>
    <w:p w14:paraId="3FE9FE38" w14:textId="752788B6" w:rsidR="007520CE" w:rsidRPr="00091571" w:rsidRDefault="007520CE" w:rsidP="007520CE">
      <w:pPr>
        <w:rPr>
          <w:rFonts w:ascii="Arial" w:hAnsi="Arial" w:cs="Arial"/>
          <w:sz w:val="22"/>
          <w:szCs w:val="22"/>
        </w:rPr>
      </w:pPr>
      <w:r w:rsidRPr="00091571">
        <w:rPr>
          <w:rFonts w:ascii="Arial" w:hAnsi="Arial" w:cs="Arial"/>
          <w:b/>
          <w:bCs/>
        </w:rPr>
        <w:t>GIORNI E ORARI</w:t>
      </w:r>
      <w:r w:rsidRPr="00091571">
        <w:rPr>
          <w:rFonts w:ascii="Arial" w:hAnsi="Arial" w:cs="Arial"/>
        </w:rPr>
        <w:br/>
      </w:r>
      <w:r w:rsidRPr="00091571">
        <w:rPr>
          <w:rFonts w:ascii="Arial" w:hAnsi="Arial" w:cs="Arial"/>
          <w:sz w:val="22"/>
          <w:szCs w:val="22"/>
        </w:rPr>
        <w:t xml:space="preserve">venerdì 3 </w:t>
      </w:r>
      <w:proofErr w:type="gramStart"/>
      <w:r w:rsidRPr="00091571">
        <w:rPr>
          <w:rFonts w:ascii="Arial" w:hAnsi="Arial" w:cs="Arial"/>
          <w:sz w:val="22"/>
          <w:szCs w:val="22"/>
        </w:rPr>
        <w:t>Gennaio</w:t>
      </w:r>
      <w:proofErr w:type="gramEnd"/>
      <w:r w:rsidRPr="00091571">
        <w:rPr>
          <w:rFonts w:ascii="Arial" w:hAnsi="Arial" w:cs="Arial"/>
          <w:sz w:val="22"/>
          <w:szCs w:val="22"/>
        </w:rPr>
        <w:t xml:space="preserve"> - 19:45; sabato 4 Gennaio - 19:45; domenica 5 Gennaio - 16:15; lunedì 6 Gennaio - 16:15; martedì 7 Gennaio - 20:00; mercoledì 8 Gennaio - 19:45; giovedì 9 Gennaio - 21:00</w:t>
      </w:r>
    </w:p>
    <w:p w14:paraId="5BE965DF" w14:textId="0ECA8A2E" w:rsidR="007520CE" w:rsidRPr="00091571" w:rsidRDefault="007520CE" w:rsidP="007520CE">
      <w:pPr>
        <w:rPr>
          <w:rFonts w:ascii="Arial" w:hAnsi="Arial" w:cs="Arial"/>
        </w:rPr>
      </w:pPr>
    </w:p>
    <w:p w14:paraId="4AB42A42" w14:textId="77777777" w:rsidR="007520CE" w:rsidRPr="00091571" w:rsidRDefault="007520CE" w:rsidP="007520CE">
      <w:pPr>
        <w:rPr>
          <w:rFonts w:ascii="Arial" w:hAnsi="Arial" w:cs="Arial"/>
        </w:rPr>
      </w:pPr>
      <w:r w:rsidRPr="00091571">
        <w:rPr>
          <w:rFonts w:ascii="Arial" w:hAnsi="Arial" w:cs="Arial"/>
          <w:b/>
          <w:bCs/>
        </w:rPr>
        <w:t>PREZZI</w:t>
      </w:r>
      <w:r w:rsidRPr="00091571">
        <w:rPr>
          <w:rFonts w:ascii="Arial" w:hAnsi="Arial" w:cs="Arial"/>
          <w:b/>
          <w:bCs/>
        </w:rPr>
        <w:br/>
      </w:r>
      <w:r w:rsidRPr="00091571">
        <w:rPr>
          <w:rFonts w:ascii="Arial" w:hAnsi="Arial" w:cs="Arial"/>
        </w:rPr>
        <w:t>SETTORE A (file A–E)</w:t>
      </w:r>
      <w:r w:rsidRPr="00091571">
        <w:rPr>
          <w:rFonts w:ascii="Arial" w:hAnsi="Arial" w:cs="Arial"/>
        </w:rPr>
        <w:br/>
        <w:t>intero 38€;</w:t>
      </w:r>
      <w:r w:rsidRPr="00091571">
        <w:rPr>
          <w:rFonts w:ascii="Arial" w:hAnsi="Arial" w:cs="Arial"/>
        </w:rPr>
        <w:br/>
        <w:t>under26/over65/Carta giovani 28€</w:t>
      </w:r>
      <w:r w:rsidRPr="00091571">
        <w:rPr>
          <w:rFonts w:ascii="Arial" w:hAnsi="Arial" w:cs="Arial"/>
        </w:rPr>
        <w:br/>
        <w:t>SETTORE B (file F–R)</w:t>
      </w:r>
      <w:r w:rsidRPr="00091571">
        <w:rPr>
          <w:rFonts w:ascii="Arial" w:hAnsi="Arial" w:cs="Arial"/>
        </w:rPr>
        <w:br/>
        <w:t>intero 28€;</w:t>
      </w:r>
      <w:r w:rsidRPr="00091571">
        <w:rPr>
          <w:rFonts w:ascii="Arial" w:hAnsi="Arial" w:cs="Arial"/>
        </w:rPr>
        <w:br/>
        <w:t>under26/over65/Carta giovani 20,50€;</w:t>
      </w:r>
      <w:r w:rsidRPr="00091571">
        <w:rPr>
          <w:rFonts w:ascii="Arial" w:hAnsi="Arial" w:cs="Arial"/>
        </w:rPr>
        <w:br/>
      </w:r>
      <w:hyperlink r:id="rId6" w:history="1">
        <w:r w:rsidRPr="00091571">
          <w:rPr>
            <w:rStyle w:val="Hyperlink"/>
            <w:rFonts w:ascii="Arial" w:hAnsi="Arial" w:cs="Arial"/>
            <w:color w:val="auto"/>
            <w:u w:val="none"/>
          </w:rPr>
          <w:t>convenzioni</w:t>
        </w:r>
      </w:hyperlink>
      <w:r w:rsidRPr="00091571">
        <w:rPr>
          <w:rFonts w:ascii="Arial" w:hAnsi="Arial" w:cs="Arial"/>
        </w:rPr>
        <w:t> (valide dal lunedì al giovedì) 22€</w:t>
      </w:r>
      <w:r w:rsidRPr="00091571">
        <w:rPr>
          <w:rFonts w:ascii="Arial" w:hAnsi="Arial" w:cs="Arial"/>
        </w:rPr>
        <w:br/>
        <w:t>SETTORE C (file S–ZZ)</w:t>
      </w:r>
      <w:r w:rsidRPr="00091571">
        <w:rPr>
          <w:rFonts w:ascii="Arial" w:hAnsi="Arial" w:cs="Arial"/>
        </w:rPr>
        <w:br/>
        <w:t>intero 20,50€;</w:t>
      </w:r>
      <w:r w:rsidRPr="00091571">
        <w:rPr>
          <w:rFonts w:ascii="Arial" w:hAnsi="Arial" w:cs="Arial"/>
        </w:rPr>
        <w:br/>
        <w:t>under26/over65/Carta giovani 18€;</w:t>
      </w:r>
      <w:r w:rsidRPr="00091571">
        <w:rPr>
          <w:rFonts w:ascii="Arial" w:hAnsi="Arial" w:cs="Arial"/>
        </w:rPr>
        <w:br/>
      </w:r>
      <w:hyperlink r:id="rId7" w:history="1">
        <w:r w:rsidRPr="00091571">
          <w:rPr>
            <w:rStyle w:val="Hyperlink"/>
            <w:rFonts w:ascii="Arial" w:hAnsi="Arial" w:cs="Arial"/>
            <w:color w:val="auto"/>
            <w:u w:val="none"/>
          </w:rPr>
          <w:t>convenzioni</w:t>
        </w:r>
      </w:hyperlink>
      <w:r w:rsidRPr="00091571">
        <w:rPr>
          <w:rFonts w:ascii="Arial" w:hAnsi="Arial" w:cs="Arial"/>
        </w:rPr>
        <w:t> (valide dal lunedì al giovedì) 18€</w:t>
      </w:r>
    </w:p>
    <w:p w14:paraId="7CC614A4" w14:textId="77777777" w:rsidR="007520CE" w:rsidRPr="00091571" w:rsidRDefault="00091571" w:rsidP="007520CE">
      <w:pPr>
        <w:rPr>
          <w:rFonts w:ascii="Arial" w:hAnsi="Arial" w:cs="Arial"/>
        </w:rPr>
      </w:pPr>
      <w:r w:rsidRPr="00091571">
        <w:rPr>
          <w:rFonts w:ascii="Arial" w:hAnsi="Arial" w:cs="Arial"/>
          <w:noProof/>
        </w:rPr>
        <w:lastRenderedPageBreak/>
        <w:pict w14:anchorId="6FD49DBC">
          <v:rect id="_x0000_i1025" alt="" style="width:481.4pt;height:.05pt;mso-width-percent:0;mso-height-percent:0;mso-width-percent:0;mso-height-percent:0" o:hrpct="999" o:hralign="center" o:hrstd="t" o:hr="t" fillcolor="#a0a0a0" stroked="f"/>
        </w:pict>
      </w:r>
    </w:p>
    <w:p w14:paraId="5612E2A5" w14:textId="77777777" w:rsidR="007520CE" w:rsidRPr="00091571" w:rsidRDefault="007520CE" w:rsidP="007520CE">
      <w:pPr>
        <w:rPr>
          <w:rFonts w:ascii="Arial" w:hAnsi="Arial" w:cs="Arial"/>
        </w:rPr>
      </w:pPr>
      <w:r w:rsidRPr="00091571">
        <w:rPr>
          <w:rFonts w:ascii="Arial" w:hAnsi="Arial" w:cs="Arial"/>
          <w:i/>
          <w:iCs/>
        </w:rPr>
        <w:t>Tutti i prezzi non includono i diritti di prevendita.</w:t>
      </w:r>
    </w:p>
    <w:p w14:paraId="2D8DB294" w14:textId="77777777" w:rsidR="007520CE" w:rsidRPr="00091571" w:rsidRDefault="007520CE" w:rsidP="007520CE">
      <w:pPr>
        <w:rPr>
          <w:rFonts w:ascii="Arial" w:hAnsi="Arial" w:cs="Arial"/>
        </w:rPr>
      </w:pPr>
    </w:p>
    <w:p w14:paraId="22BA4FD5" w14:textId="77777777" w:rsidR="007520CE" w:rsidRPr="00091571" w:rsidRDefault="007520CE" w:rsidP="007520CE">
      <w:pPr>
        <w:rPr>
          <w:rFonts w:ascii="Arial" w:hAnsi="Arial" w:cs="Arial"/>
        </w:rPr>
      </w:pPr>
    </w:p>
    <w:p w14:paraId="345239E2" w14:textId="77777777" w:rsidR="007520CE" w:rsidRPr="00091571" w:rsidRDefault="007520CE" w:rsidP="007520CE">
      <w:pPr>
        <w:pBdr>
          <w:top w:val="nil"/>
          <w:left w:val="nil"/>
          <w:bottom w:val="nil"/>
          <w:right w:val="nil"/>
          <w:between w:val="nil"/>
        </w:pBdr>
        <w:rPr>
          <w:rFonts w:ascii="Arial" w:eastAsia="Arial" w:hAnsi="Arial" w:cs="Arial"/>
          <w:b/>
        </w:rPr>
      </w:pPr>
      <w:r w:rsidRPr="00091571">
        <w:rPr>
          <w:rFonts w:ascii="Arial" w:eastAsia="Arial" w:hAnsi="Arial" w:cs="Arial"/>
          <w:b/>
        </w:rPr>
        <w:t>Info e biglietteria</w:t>
      </w:r>
    </w:p>
    <w:p w14:paraId="518366DF" w14:textId="77777777" w:rsidR="007520CE" w:rsidRPr="00091571" w:rsidRDefault="007520CE" w:rsidP="007520CE">
      <w:pPr>
        <w:pBdr>
          <w:top w:val="nil"/>
          <w:left w:val="nil"/>
          <w:bottom w:val="nil"/>
          <w:right w:val="nil"/>
          <w:between w:val="nil"/>
        </w:pBdr>
        <w:rPr>
          <w:rFonts w:ascii="Arial" w:eastAsia="Arial" w:hAnsi="Arial" w:cs="Arial"/>
        </w:rPr>
      </w:pPr>
      <w:r w:rsidRPr="00091571">
        <w:rPr>
          <w:rFonts w:ascii="Arial" w:eastAsia="Arial" w:hAnsi="Arial" w:cs="Arial"/>
        </w:rPr>
        <w:t>Biglietteria</w:t>
      </w:r>
      <w:r w:rsidRPr="00091571">
        <w:rPr>
          <w:rFonts w:ascii="Arial" w:eastAsia="Arial" w:hAnsi="Arial" w:cs="Arial"/>
        </w:rPr>
        <w:br/>
        <w:t>via Pier Lombardo 14</w:t>
      </w:r>
      <w:r w:rsidRPr="00091571">
        <w:rPr>
          <w:rFonts w:ascii="Arial" w:eastAsia="Arial" w:hAnsi="Arial" w:cs="Arial"/>
        </w:rPr>
        <w:br/>
      </w:r>
      <w:hyperlink r:id="rId8">
        <w:r w:rsidRPr="00091571">
          <w:rPr>
            <w:rFonts w:ascii="Arial" w:eastAsia="Arial" w:hAnsi="Arial" w:cs="Arial"/>
          </w:rPr>
          <w:t>02 59995206</w:t>
        </w:r>
        <w:r w:rsidRPr="00091571">
          <w:rPr>
            <w:rFonts w:ascii="Arial" w:eastAsia="Arial" w:hAnsi="Arial" w:cs="Arial"/>
          </w:rPr>
          <w:br/>
        </w:r>
      </w:hyperlink>
      <w:hyperlink r:id="rId9">
        <w:r w:rsidRPr="00091571">
          <w:rPr>
            <w:rFonts w:ascii="Arial" w:eastAsia="Arial" w:hAnsi="Arial" w:cs="Arial"/>
          </w:rPr>
          <w:t>biglietteria@teatrofrancoparenti.it</w:t>
        </w:r>
      </w:hyperlink>
    </w:p>
    <w:p w14:paraId="390E55B3" w14:textId="77777777" w:rsidR="007520CE" w:rsidRPr="00091571" w:rsidRDefault="007520CE" w:rsidP="007520CE">
      <w:pPr>
        <w:pBdr>
          <w:top w:val="nil"/>
          <w:left w:val="nil"/>
          <w:bottom w:val="nil"/>
          <w:right w:val="nil"/>
          <w:between w:val="nil"/>
        </w:pBdr>
        <w:rPr>
          <w:rFonts w:ascii="Arial" w:eastAsia="Arial" w:hAnsi="Arial" w:cs="Arial"/>
        </w:rPr>
      </w:pPr>
    </w:p>
    <w:p w14:paraId="75FA81F3" w14:textId="77777777" w:rsidR="007520CE" w:rsidRPr="00091571" w:rsidRDefault="007520CE" w:rsidP="007520CE">
      <w:pPr>
        <w:pBdr>
          <w:top w:val="nil"/>
          <w:left w:val="nil"/>
          <w:bottom w:val="nil"/>
          <w:right w:val="nil"/>
          <w:between w:val="nil"/>
        </w:pBdr>
        <w:rPr>
          <w:rFonts w:ascii="Arial" w:hAnsi="Arial" w:cs="Arial"/>
        </w:rPr>
      </w:pPr>
      <w:r w:rsidRPr="00091571">
        <w:rPr>
          <w:rFonts w:ascii="Arial" w:eastAsia="Arial" w:hAnsi="Arial" w:cs="Arial"/>
          <w:b/>
        </w:rPr>
        <w:t>Ufficio Stampa</w:t>
      </w:r>
      <w:r w:rsidRPr="00091571">
        <w:rPr>
          <w:rFonts w:ascii="Arial" w:eastAsia="Arial" w:hAnsi="Arial" w:cs="Arial"/>
          <w:b/>
        </w:rPr>
        <w:br/>
      </w:r>
      <w:r w:rsidRPr="00091571">
        <w:rPr>
          <w:rFonts w:ascii="Arial" w:eastAsia="Arial" w:hAnsi="Arial" w:cs="Arial"/>
        </w:rPr>
        <w:t>Francesco Malcangio</w:t>
      </w:r>
      <w:r w:rsidRPr="00091571">
        <w:rPr>
          <w:rFonts w:ascii="Arial" w:eastAsia="Arial" w:hAnsi="Arial" w:cs="Arial"/>
        </w:rPr>
        <w:br/>
        <w:t>Teatro Franco Parenti</w:t>
      </w:r>
      <w:r w:rsidRPr="00091571">
        <w:rPr>
          <w:rFonts w:ascii="Arial" w:eastAsia="Arial" w:hAnsi="Arial" w:cs="Arial"/>
        </w:rPr>
        <w:br/>
        <w:t>Via Vasari,15 - 20135 - Milano</w:t>
      </w:r>
      <w:r w:rsidRPr="00091571">
        <w:rPr>
          <w:rFonts w:ascii="Arial" w:eastAsia="Arial" w:hAnsi="Arial" w:cs="Arial"/>
        </w:rPr>
        <w:br/>
        <w:t>Tel. +39 02 59 99 52 17</w:t>
      </w:r>
      <w:r w:rsidRPr="00091571">
        <w:rPr>
          <w:rFonts w:ascii="Arial" w:eastAsia="Arial" w:hAnsi="Arial" w:cs="Arial"/>
        </w:rPr>
        <w:br/>
        <w:t>Mob. </w:t>
      </w:r>
      <w:hyperlink r:id="rId10">
        <w:r w:rsidRPr="00091571">
          <w:rPr>
            <w:rFonts w:ascii="Arial" w:eastAsia="Arial" w:hAnsi="Arial" w:cs="Arial"/>
          </w:rPr>
          <w:t>346 417 91 36 </w:t>
        </w:r>
      </w:hyperlink>
      <w:r w:rsidRPr="00091571">
        <w:rPr>
          <w:rFonts w:ascii="Arial" w:eastAsia="Arial" w:hAnsi="Arial" w:cs="Arial"/>
        </w:rPr>
        <w:br/>
      </w:r>
      <w:hyperlink r:id="rId11">
        <w:r w:rsidRPr="00091571">
          <w:rPr>
            <w:rFonts w:ascii="Arial" w:eastAsia="Arial" w:hAnsi="Arial" w:cs="Arial"/>
          </w:rPr>
          <w:t>http://www.teatrofrancoparenti.it</w:t>
        </w:r>
        <w:r w:rsidRPr="00091571">
          <w:rPr>
            <w:rFonts w:ascii="Arial" w:eastAsia="Arial" w:hAnsi="Arial" w:cs="Arial"/>
          </w:rPr>
          <w:br/>
        </w:r>
      </w:hyperlink>
    </w:p>
    <w:p w14:paraId="606B76F0" w14:textId="77777777" w:rsidR="007520CE" w:rsidRPr="00091571" w:rsidRDefault="007520CE" w:rsidP="007520CE"/>
    <w:p w14:paraId="0317D426" w14:textId="30089B0D" w:rsidR="007520CE" w:rsidRPr="00091571" w:rsidRDefault="007520CE" w:rsidP="007520CE"/>
    <w:sectPr w:rsidR="007520CE" w:rsidRPr="00091571" w:rsidSect="0026037F">
      <w:head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4E7B" w14:textId="77777777" w:rsidR="00D32D92" w:rsidRDefault="00D32D92" w:rsidP="007520CE">
      <w:r>
        <w:separator/>
      </w:r>
    </w:p>
  </w:endnote>
  <w:endnote w:type="continuationSeparator" w:id="0">
    <w:p w14:paraId="122401A3" w14:textId="77777777" w:rsidR="00D32D92" w:rsidRDefault="00D32D92" w:rsidP="0075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99F7D" w14:textId="77777777" w:rsidR="00D32D92" w:rsidRDefault="00D32D92" w:rsidP="007520CE">
      <w:r>
        <w:separator/>
      </w:r>
    </w:p>
  </w:footnote>
  <w:footnote w:type="continuationSeparator" w:id="0">
    <w:p w14:paraId="7991F33B" w14:textId="77777777" w:rsidR="00D32D92" w:rsidRDefault="00D32D92" w:rsidP="0075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AC83" w14:textId="1B4E3D86" w:rsidR="007520CE" w:rsidRDefault="007520CE">
    <w:pPr>
      <w:pStyle w:val="Header"/>
    </w:pPr>
    <w:r>
      <w:rPr>
        <w:noProof/>
      </w:rPr>
      <w:drawing>
        <wp:inline distT="0" distB="0" distL="0" distR="0" wp14:anchorId="239B0430" wp14:editId="33FF788C">
          <wp:extent cx="2308194" cy="550749"/>
          <wp:effectExtent l="0" t="0" r="3810" b="0"/>
          <wp:docPr id="495493666"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93666" name="Immagine 1" descr="Immagine che contiene testo, Carattere, logo, bian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25966" cy="554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CE"/>
    <w:rsid w:val="00091571"/>
    <w:rsid w:val="00153954"/>
    <w:rsid w:val="00221B99"/>
    <w:rsid w:val="0026037F"/>
    <w:rsid w:val="003B6E66"/>
    <w:rsid w:val="00443677"/>
    <w:rsid w:val="007520CE"/>
    <w:rsid w:val="007D712F"/>
    <w:rsid w:val="009478BF"/>
    <w:rsid w:val="00AA37D5"/>
    <w:rsid w:val="00B817EC"/>
    <w:rsid w:val="00BF1350"/>
    <w:rsid w:val="00D15E16"/>
    <w:rsid w:val="00D32D92"/>
    <w:rsid w:val="00E41840"/>
    <w:rsid w:val="00E47912"/>
    <w:rsid w:val="00EB2FFD"/>
    <w:rsid w:val="00F70EC3"/>
    <w:rsid w:val="00FF2ED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66E85"/>
  <w15:chartTrackingRefBased/>
  <w15:docId w15:val="{B4B4287E-715F-2142-9702-CC117D19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0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0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0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520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0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0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0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52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0CE"/>
    <w:rPr>
      <w:rFonts w:eastAsiaTheme="majorEastAsia" w:cstheme="majorBidi"/>
      <w:color w:val="272727" w:themeColor="text1" w:themeTint="D8"/>
    </w:rPr>
  </w:style>
  <w:style w:type="paragraph" w:styleId="Title">
    <w:name w:val="Title"/>
    <w:basedOn w:val="Normal"/>
    <w:next w:val="Normal"/>
    <w:link w:val="TitleChar"/>
    <w:uiPriority w:val="10"/>
    <w:qFormat/>
    <w:rsid w:val="007520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0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0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20CE"/>
    <w:rPr>
      <w:i/>
      <w:iCs/>
      <w:color w:val="404040" w:themeColor="text1" w:themeTint="BF"/>
    </w:rPr>
  </w:style>
  <w:style w:type="paragraph" w:styleId="ListParagraph">
    <w:name w:val="List Paragraph"/>
    <w:basedOn w:val="Normal"/>
    <w:uiPriority w:val="34"/>
    <w:qFormat/>
    <w:rsid w:val="007520CE"/>
    <w:pPr>
      <w:ind w:left="720"/>
      <w:contextualSpacing/>
    </w:pPr>
  </w:style>
  <w:style w:type="character" w:styleId="IntenseEmphasis">
    <w:name w:val="Intense Emphasis"/>
    <w:basedOn w:val="DefaultParagraphFont"/>
    <w:uiPriority w:val="21"/>
    <w:qFormat/>
    <w:rsid w:val="007520CE"/>
    <w:rPr>
      <w:i/>
      <w:iCs/>
      <w:color w:val="0F4761" w:themeColor="accent1" w:themeShade="BF"/>
    </w:rPr>
  </w:style>
  <w:style w:type="paragraph" w:styleId="IntenseQuote">
    <w:name w:val="Intense Quote"/>
    <w:basedOn w:val="Normal"/>
    <w:next w:val="Normal"/>
    <w:link w:val="IntenseQuoteChar"/>
    <w:uiPriority w:val="30"/>
    <w:qFormat/>
    <w:rsid w:val="00752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0CE"/>
    <w:rPr>
      <w:i/>
      <w:iCs/>
      <w:color w:val="0F4761" w:themeColor="accent1" w:themeShade="BF"/>
    </w:rPr>
  </w:style>
  <w:style w:type="character" w:styleId="IntenseReference">
    <w:name w:val="Intense Reference"/>
    <w:basedOn w:val="DefaultParagraphFont"/>
    <w:uiPriority w:val="32"/>
    <w:qFormat/>
    <w:rsid w:val="007520CE"/>
    <w:rPr>
      <w:b/>
      <w:bCs/>
      <w:smallCaps/>
      <w:color w:val="0F4761" w:themeColor="accent1" w:themeShade="BF"/>
      <w:spacing w:val="5"/>
    </w:rPr>
  </w:style>
  <w:style w:type="paragraph" w:styleId="Header">
    <w:name w:val="header"/>
    <w:basedOn w:val="Normal"/>
    <w:link w:val="HeaderChar"/>
    <w:uiPriority w:val="99"/>
    <w:unhideWhenUsed/>
    <w:rsid w:val="007520CE"/>
    <w:pPr>
      <w:tabs>
        <w:tab w:val="center" w:pos="4819"/>
        <w:tab w:val="right" w:pos="9638"/>
      </w:tabs>
    </w:pPr>
  </w:style>
  <w:style w:type="character" w:customStyle="1" w:styleId="HeaderChar">
    <w:name w:val="Header Char"/>
    <w:basedOn w:val="DefaultParagraphFont"/>
    <w:link w:val="Header"/>
    <w:uiPriority w:val="99"/>
    <w:rsid w:val="007520CE"/>
  </w:style>
  <w:style w:type="paragraph" w:styleId="Footer">
    <w:name w:val="footer"/>
    <w:basedOn w:val="Normal"/>
    <w:link w:val="FooterChar"/>
    <w:uiPriority w:val="99"/>
    <w:unhideWhenUsed/>
    <w:rsid w:val="007520CE"/>
    <w:pPr>
      <w:tabs>
        <w:tab w:val="center" w:pos="4819"/>
        <w:tab w:val="right" w:pos="9638"/>
      </w:tabs>
    </w:pPr>
  </w:style>
  <w:style w:type="character" w:customStyle="1" w:styleId="FooterChar">
    <w:name w:val="Footer Char"/>
    <w:basedOn w:val="DefaultParagraphFont"/>
    <w:link w:val="Footer"/>
    <w:uiPriority w:val="99"/>
    <w:rsid w:val="007520CE"/>
  </w:style>
  <w:style w:type="paragraph" w:styleId="NormalWeb">
    <w:name w:val="Normal (Web)"/>
    <w:basedOn w:val="Normal"/>
    <w:uiPriority w:val="99"/>
    <w:semiHidden/>
    <w:unhideWhenUsed/>
    <w:rsid w:val="007520CE"/>
    <w:rPr>
      <w:rFonts w:ascii="Times New Roman" w:hAnsi="Times New Roman" w:cs="Times New Roman"/>
    </w:rPr>
  </w:style>
  <w:style w:type="character" w:styleId="Hyperlink">
    <w:name w:val="Hyperlink"/>
    <w:basedOn w:val="DefaultParagraphFont"/>
    <w:uiPriority w:val="99"/>
    <w:unhideWhenUsed/>
    <w:rsid w:val="007520CE"/>
    <w:rPr>
      <w:color w:val="467886" w:themeColor="hyperlink"/>
      <w:u w:val="single"/>
    </w:rPr>
  </w:style>
  <w:style w:type="character" w:styleId="UnresolvedMention">
    <w:name w:val="Unresolved Mention"/>
    <w:basedOn w:val="DefaultParagraphFont"/>
    <w:uiPriority w:val="99"/>
    <w:semiHidden/>
    <w:unhideWhenUsed/>
    <w:rsid w:val="00752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86143">
      <w:bodyDiv w:val="1"/>
      <w:marLeft w:val="0"/>
      <w:marRight w:val="0"/>
      <w:marTop w:val="0"/>
      <w:marBottom w:val="0"/>
      <w:divBdr>
        <w:top w:val="none" w:sz="0" w:space="0" w:color="auto"/>
        <w:left w:val="none" w:sz="0" w:space="0" w:color="auto"/>
        <w:bottom w:val="none" w:sz="0" w:space="0" w:color="auto"/>
        <w:right w:val="none" w:sz="0" w:space="0" w:color="auto"/>
      </w:divBdr>
    </w:div>
    <w:div w:id="149904331">
      <w:bodyDiv w:val="1"/>
      <w:marLeft w:val="0"/>
      <w:marRight w:val="0"/>
      <w:marTop w:val="0"/>
      <w:marBottom w:val="0"/>
      <w:divBdr>
        <w:top w:val="none" w:sz="0" w:space="0" w:color="auto"/>
        <w:left w:val="none" w:sz="0" w:space="0" w:color="auto"/>
        <w:bottom w:val="none" w:sz="0" w:space="0" w:color="auto"/>
        <w:right w:val="none" w:sz="0" w:space="0" w:color="auto"/>
      </w:divBdr>
    </w:div>
    <w:div w:id="329795959">
      <w:bodyDiv w:val="1"/>
      <w:marLeft w:val="0"/>
      <w:marRight w:val="0"/>
      <w:marTop w:val="0"/>
      <w:marBottom w:val="0"/>
      <w:divBdr>
        <w:top w:val="none" w:sz="0" w:space="0" w:color="auto"/>
        <w:left w:val="none" w:sz="0" w:space="0" w:color="auto"/>
        <w:bottom w:val="none" w:sz="0" w:space="0" w:color="auto"/>
        <w:right w:val="none" w:sz="0" w:space="0" w:color="auto"/>
      </w:divBdr>
      <w:divsChild>
        <w:div w:id="156312270">
          <w:marLeft w:val="0"/>
          <w:marRight w:val="0"/>
          <w:marTop w:val="0"/>
          <w:marBottom w:val="0"/>
          <w:divBdr>
            <w:top w:val="none" w:sz="0" w:space="0" w:color="auto"/>
            <w:left w:val="none" w:sz="0" w:space="0" w:color="auto"/>
            <w:bottom w:val="none" w:sz="0" w:space="0" w:color="auto"/>
            <w:right w:val="none" w:sz="0" w:space="0" w:color="auto"/>
          </w:divBdr>
        </w:div>
        <w:div w:id="1546746849">
          <w:marLeft w:val="0"/>
          <w:marRight w:val="0"/>
          <w:marTop w:val="240"/>
          <w:marBottom w:val="0"/>
          <w:divBdr>
            <w:top w:val="single" w:sz="6" w:space="12" w:color="EDEDED"/>
            <w:left w:val="none" w:sz="0" w:space="0" w:color="auto"/>
            <w:bottom w:val="none" w:sz="0" w:space="0" w:color="auto"/>
            <w:right w:val="none" w:sz="0" w:space="0" w:color="auto"/>
          </w:divBdr>
        </w:div>
      </w:divsChild>
    </w:div>
    <w:div w:id="440957568">
      <w:bodyDiv w:val="1"/>
      <w:marLeft w:val="0"/>
      <w:marRight w:val="0"/>
      <w:marTop w:val="0"/>
      <w:marBottom w:val="0"/>
      <w:divBdr>
        <w:top w:val="none" w:sz="0" w:space="0" w:color="auto"/>
        <w:left w:val="none" w:sz="0" w:space="0" w:color="auto"/>
        <w:bottom w:val="none" w:sz="0" w:space="0" w:color="auto"/>
        <w:right w:val="none" w:sz="0" w:space="0" w:color="auto"/>
      </w:divBdr>
    </w:div>
    <w:div w:id="624626009">
      <w:bodyDiv w:val="1"/>
      <w:marLeft w:val="0"/>
      <w:marRight w:val="0"/>
      <w:marTop w:val="0"/>
      <w:marBottom w:val="0"/>
      <w:divBdr>
        <w:top w:val="none" w:sz="0" w:space="0" w:color="auto"/>
        <w:left w:val="none" w:sz="0" w:space="0" w:color="auto"/>
        <w:bottom w:val="none" w:sz="0" w:space="0" w:color="auto"/>
        <w:right w:val="none" w:sz="0" w:space="0" w:color="auto"/>
      </w:divBdr>
    </w:div>
    <w:div w:id="896403205">
      <w:bodyDiv w:val="1"/>
      <w:marLeft w:val="0"/>
      <w:marRight w:val="0"/>
      <w:marTop w:val="0"/>
      <w:marBottom w:val="0"/>
      <w:divBdr>
        <w:top w:val="none" w:sz="0" w:space="0" w:color="auto"/>
        <w:left w:val="none" w:sz="0" w:space="0" w:color="auto"/>
        <w:bottom w:val="none" w:sz="0" w:space="0" w:color="auto"/>
        <w:right w:val="none" w:sz="0" w:space="0" w:color="auto"/>
      </w:divBdr>
    </w:div>
    <w:div w:id="1427186950">
      <w:bodyDiv w:val="1"/>
      <w:marLeft w:val="0"/>
      <w:marRight w:val="0"/>
      <w:marTop w:val="0"/>
      <w:marBottom w:val="0"/>
      <w:divBdr>
        <w:top w:val="none" w:sz="0" w:space="0" w:color="auto"/>
        <w:left w:val="none" w:sz="0" w:space="0" w:color="auto"/>
        <w:bottom w:val="none" w:sz="0" w:space="0" w:color="auto"/>
        <w:right w:val="none" w:sz="0" w:space="0" w:color="auto"/>
      </w:divBdr>
    </w:div>
    <w:div w:id="1628851400">
      <w:bodyDiv w:val="1"/>
      <w:marLeft w:val="0"/>
      <w:marRight w:val="0"/>
      <w:marTop w:val="0"/>
      <w:marBottom w:val="0"/>
      <w:divBdr>
        <w:top w:val="none" w:sz="0" w:space="0" w:color="auto"/>
        <w:left w:val="none" w:sz="0" w:space="0" w:color="auto"/>
        <w:bottom w:val="none" w:sz="0" w:space="0" w:color="auto"/>
        <w:right w:val="none" w:sz="0" w:space="0" w:color="auto"/>
      </w:divBdr>
    </w:div>
    <w:div w:id="1651133334">
      <w:bodyDiv w:val="1"/>
      <w:marLeft w:val="0"/>
      <w:marRight w:val="0"/>
      <w:marTop w:val="0"/>
      <w:marBottom w:val="0"/>
      <w:divBdr>
        <w:top w:val="none" w:sz="0" w:space="0" w:color="auto"/>
        <w:left w:val="none" w:sz="0" w:space="0" w:color="auto"/>
        <w:bottom w:val="none" w:sz="0" w:space="0" w:color="auto"/>
        <w:right w:val="none" w:sz="0" w:space="0" w:color="auto"/>
      </w:divBdr>
    </w:div>
    <w:div w:id="1708725405">
      <w:bodyDiv w:val="1"/>
      <w:marLeft w:val="0"/>
      <w:marRight w:val="0"/>
      <w:marTop w:val="0"/>
      <w:marBottom w:val="0"/>
      <w:divBdr>
        <w:top w:val="none" w:sz="0" w:space="0" w:color="auto"/>
        <w:left w:val="none" w:sz="0" w:space="0" w:color="auto"/>
        <w:bottom w:val="none" w:sz="0" w:space="0" w:color="auto"/>
        <w:right w:val="none" w:sz="0" w:space="0" w:color="auto"/>
      </w:divBdr>
    </w:div>
    <w:div w:id="1870415335">
      <w:bodyDiv w:val="1"/>
      <w:marLeft w:val="0"/>
      <w:marRight w:val="0"/>
      <w:marTop w:val="0"/>
      <w:marBottom w:val="0"/>
      <w:divBdr>
        <w:top w:val="none" w:sz="0" w:space="0" w:color="auto"/>
        <w:left w:val="none" w:sz="0" w:space="0" w:color="auto"/>
        <w:bottom w:val="none" w:sz="0" w:space="0" w:color="auto"/>
        <w:right w:val="none" w:sz="0" w:space="0" w:color="auto"/>
      </w:divBdr>
    </w:div>
    <w:div w:id="1985044546">
      <w:bodyDiv w:val="1"/>
      <w:marLeft w:val="0"/>
      <w:marRight w:val="0"/>
      <w:marTop w:val="0"/>
      <w:marBottom w:val="0"/>
      <w:divBdr>
        <w:top w:val="none" w:sz="0" w:space="0" w:color="auto"/>
        <w:left w:val="none" w:sz="0" w:space="0" w:color="auto"/>
        <w:bottom w:val="none" w:sz="0" w:space="0" w:color="auto"/>
        <w:right w:val="none" w:sz="0" w:space="0" w:color="auto"/>
      </w:divBdr>
      <w:divsChild>
        <w:div w:id="439833988">
          <w:marLeft w:val="0"/>
          <w:marRight w:val="0"/>
          <w:marTop w:val="0"/>
          <w:marBottom w:val="0"/>
          <w:divBdr>
            <w:top w:val="none" w:sz="0" w:space="0" w:color="auto"/>
            <w:left w:val="none" w:sz="0" w:space="0" w:color="auto"/>
            <w:bottom w:val="none" w:sz="0" w:space="0" w:color="auto"/>
            <w:right w:val="none" w:sz="0" w:space="0" w:color="auto"/>
          </w:divBdr>
        </w:div>
        <w:div w:id="1468477666">
          <w:marLeft w:val="0"/>
          <w:marRight w:val="0"/>
          <w:marTop w:val="240"/>
          <w:marBottom w:val="0"/>
          <w:divBdr>
            <w:top w:val="single" w:sz="6" w:space="12" w:color="EDEDE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Malcangio</dc:creator>
  <cp:keywords/>
  <dc:description/>
  <cp:lastModifiedBy>Elena Nappi</cp:lastModifiedBy>
  <cp:revision>5</cp:revision>
  <dcterms:created xsi:type="dcterms:W3CDTF">2024-12-03T13:43:00Z</dcterms:created>
  <dcterms:modified xsi:type="dcterms:W3CDTF">2024-12-18T15:59:00Z</dcterms:modified>
</cp:coreProperties>
</file>