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75E7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</w:p>
    <w:p w14:paraId="6FF202CB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</w:p>
    <w:p w14:paraId="32622AD2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Comunicato stampa</w:t>
      </w:r>
    </w:p>
    <w:p w14:paraId="7B11848A" w14:textId="77777777" w:rsidR="00280397" w:rsidRPr="00877ED0" w:rsidRDefault="00280397" w:rsidP="00280397">
      <w:pPr>
        <w:rPr>
          <w:rFonts w:asciiTheme="minorBidi" w:hAnsiTheme="minorBidi"/>
          <w:b/>
          <w:bCs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Domenica 10 </w:t>
      </w:r>
      <w:proofErr w:type="gramStart"/>
      <w:r w:rsidRPr="00877ED0">
        <w:rPr>
          <w:rFonts w:asciiTheme="minorBidi" w:hAnsiTheme="minorBidi"/>
          <w:sz w:val="26"/>
          <w:szCs w:val="26"/>
        </w:rPr>
        <w:t>Novembre</w:t>
      </w:r>
      <w:proofErr w:type="gramEnd"/>
      <w:r w:rsidRPr="00877ED0">
        <w:rPr>
          <w:rFonts w:asciiTheme="minorBidi" w:hAnsiTheme="minorBidi"/>
          <w:sz w:val="26"/>
          <w:szCs w:val="26"/>
        </w:rPr>
        <w:t xml:space="preserve"> | Sala Grande</w:t>
      </w:r>
      <w:r w:rsidRPr="00877ED0">
        <w:rPr>
          <w:rFonts w:asciiTheme="minorBidi" w:hAnsiTheme="minorBidi"/>
          <w:sz w:val="26"/>
          <w:szCs w:val="26"/>
        </w:rPr>
        <w:br/>
      </w:r>
      <w:r w:rsidRPr="00877ED0">
        <w:rPr>
          <w:rFonts w:asciiTheme="minorBidi" w:hAnsiTheme="minorBidi"/>
          <w:b/>
          <w:bCs/>
          <w:sz w:val="26"/>
          <w:szCs w:val="26"/>
        </w:rPr>
        <w:t>KOHLHAAS</w:t>
      </w:r>
    </w:p>
    <w:p w14:paraId="6A16A28F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tratto dall’opera </w:t>
      </w:r>
      <w:r w:rsidRPr="00877ED0">
        <w:rPr>
          <w:rFonts w:asciiTheme="minorBidi" w:hAnsiTheme="minorBidi"/>
          <w:i/>
          <w:iCs/>
          <w:sz w:val="26"/>
          <w:szCs w:val="26"/>
        </w:rPr>
        <w:t xml:space="preserve">Michael </w:t>
      </w:r>
      <w:proofErr w:type="spellStart"/>
      <w:r w:rsidRPr="00877ED0">
        <w:rPr>
          <w:rFonts w:asciiTheme="minorBidi" w:hAnsiTheme="minorBidi"/>
          <w:i/>
          <w:iCs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> di Heinrich von Kleist</w:t>
      </w:r>
      <w:r w:rsidRPr="00877ED0">
        <w:rPr>
          <w:rFonts w:asciiTheme="minorBidi" w:hAnsiTheme="minorBidi"/>
          <w:sz w:val="26"/>
          <w:szCs w:val="26"/>
        </w:rPr>
        <w:br/>
        <w:t>di Marco Baliani e Remo Rostagno</w:t>
      </w:r>
      <w:r w:rsidRPr="00877ED0">
        <w:rPr>
          <w:rFonts w:asciiTheme="minorBidi" w:hAnsiTheme="minorBidi"/>
          <w:sz w:val="26"/>
          <w:szCs w:val="26"/>
        </w:rPr>
        <w:br/>
        <w:t>attore narrante Marco Baliani</w:t>
      </w:r>
      <w:r w:rsidRPr="00877ED0">
        <w:rPr>
          <w:rFonts w:asciiTheme="minorBidi" w:hAnsiTheme="minorBidi"/>
          <w:sz w:val="26"/>
          <w:szCs w:val="26"/>
        </w:rPr>
        <w:br/>
        <w:t>regia Maria Maglietta</w:t>
      </w:r>
      <w:r w:rsidRPr="00877ED0">
        <w:rPr>
          <w:rFonts w:asciiTheme="minorBidi" w:hAnsiTheme="minorBidi"/>
          <w:sz w:val="26"/>
          <w:szCs w:val="26"/>
        </w:rPr>
        <w:br/>
        <w:t>organizzazione e promozione Ilenia Carrone</w:t>
      </w:r>
    </w:p>
    <w:p w14:paraId="01672EAE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produzione </w:t>
      </w:r>
      <w:proofErr w:type="spellStart"/>
      <w:r w:rsidRPr="00877ED0">
        <w:rPr>
          <w:rFonts w:asciiTheme="minorBidi" w:hAnsiTheme="minorBidi"/>
          <w:sz w:val="26"/>
          <w:szCs w:val="26"/>
        </w:rPr>
        <w:t>Trickster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Teatro / Casa degli Alfieri</w:t>
      </w:r>
    </w:p>
    <w:p w14:paraId="6E767DCF" w14:textId="77777777" w:rsidR="00280397" w:rsidRPr="00877ED0" w:rsidRDefault="00280397" w:rsidP="00280397">
      <w:pPr>
        <w:rPr>
          <w:rFonts w:asciiTheme="minorBidi" w:hAnsiTheme="minorBidi"/>
          <w:i/>
          <w:iCs/>
          <w:sz w:val="26"/>
          <w:szCs w:val="26"/>
        </w:rPr>
      </w:pPr>
      <w:r w:rsidRPr="00877ED0">
        <w:rPr>
          <w:rFonts w:asciiTheme="minorBidi" w:hAnsiTheme="minorBidi"/>
          <w:i/>
          <w:iCs/>
          <w:sz w:val="26"/>
          <w:szCs w:val="26"/>
        </w:rPr>
        <w:t>Durata 75’</w:t>
      </w:r>
    </w:p>
    <w:p w14:paraId="52C55BAB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</w:p>
    <w:p w14:paraId="785AA308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In scena domenica 10 </w:t>
      </w:r>
      <w:proofErr w:type="gramStart"/>
      <w:r>
        <w:rPr>
          <w:rFonts w:asciiTheme="minorBidi" w:hAnsiTheme="minorBidi"/>
          <w:sz w:val="26"/>
          <w:szCs w:val="26"/>
        </w:rPr>
        <w:t>Novembre</w:t>
      </w:r>
      <w:proofErr w:type="gramEnd"/>
      <w:r>
        <w:rPr>
          <w:rFonts w:asciiTheme="minorBidi" w:hAnsiTheme="minorBidi"/>
          <w:sz w:val="26"/>
          <w:szCs w:val="26"/>
        </w:rPr>
        <w:t xml:space="preserve"> nella Sala Grande del Teatro Franco Parenti </w:t>
      </w:r>
      <w:proofErr w:type="spellStart"/>
      <w:r w:rsidRPr="00877ED0">
        <w:rPr>
          <w:rFonts w:asciiTheme="minorBidi" w:hAnsiTheme="minorBidi"/>
          <w:i/>
          <w:iCs/>
          <w:sz w:val="26"/>
          <w:szCs w:val="26"/>
        </w:rPr>
        <w:t>Kohlhaas</w:t>
      </w:r>
      <w:proofErr w:type="spellEnd"/>
      <w:r>
        <w:rPr>
          <w:rFonts w:asciiTheme="minorBidi" w:hAnsiTheme="minorBidi"/>
          <w:sz w:val="26"/>
          <w:szCs w:val="26"/>
        </w:rPr>
        <w:t>, lo spettacolo n</w:t>
      </w:r>
      <w:r w:rsidRPr="00877ED0">
        <w:rPr>
          <w:rFonts w:asciiTheme="minorBidi" w:hAnsiTheme="minorBidi"/>
          <w:sz w:val="26"/>
          <w:szCs w:val="26"/>
        </w:rPr>
        <w:t xml:space="preserve">ato trent'anni fa e divenuto cavallo di battaglia di Baliani, </w:t>
      </w:r>
      <w:r>
        <w:rPr>
          <w:rFonts w:asciiTheme="minorBidi" w:hAnsiTheme="minorBidi"/>
          <w:sz w:val="26"/>
          <w:szCs w:val="26"/>
        </w:rPr>
        <w:t>con oltre</w:t>
      </w:r>
      <w:r w:rsidRPr="00877ED0">
        <w:rPr>
          <w:rFonts w:asciiTheme="minorBidi" w:hAnsiTheme="minorBidi"/>
          <w:sz w:val="26"/>
          <w:szCs w:val="26"/>
        </w:rPr>
        <w:t xml:space="preserve"> 1100 repliche.</w:t>
      </w:r>
    </w:p>
    <w:p w14:paraId="482D6A09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Allevatore di cavalli vissuto nella Germania del ‘500, Michael </w:t>
      </w:r>
      <w:proofErr w:type="spellStart"/>
      <w:r w:rsidRPr="00877ED0">
        <w:rPr>
          <w:rFonts w:asciiTheme="minorBidi" w:hAnsiTheme="minorBidi"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finisce per cadere vittima della prepotenza di nobili e fato. Dopo una lunga serie di peripezie viene privato degli averi e di sua moglie. Per ottenere giustizia diventa egli stesso giustiziere, ma </w:t>
      </w:r>
      <w:proofErr w:type="spellStart"/>
      <w:r w:rsidRPr="00877ED0">
        <w:rPr>
          <w:rFonts w:asciiTheme="minorBidi" w:hAnsiTheme="minorBidi"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non è uomo nato per la vendetta o il sangue e, dopo aver vinto numerose battaglie, riscopre – grazie a un eremita – la bontà che ancora palpita nel suo cuore. La spirale di violenza generata dal sopruso subito dal protagonista offre lo spunto per una riflessione sulle reazioni dell’individuo all’ingiustizia.</w:t>
      </w:r>
    </w:p>
    <w:p w14:paraId="1149A620" w14:textId="77777777" w:rsidR="00280397" w:rsidRDefault="00280397" w:rsidP="00280397">
      <w:pPr>
        <w:rPr>
          <w:rFonts w:asciiTheme="minorBidi" w:hAnsiTheme="minorBidi"/>
          <w:sz w:val="26"/>
          <w:szCs w:val="26"/>
        </w:rPr>
      </w:pPr>
    </w:p>
    <w:p w14:paraId="5176DEB5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NOTE DI REGIA</w:t>
      </w:r>
    </w:p>
    <w:p w14:paraId="584AB1B9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La storia di </w:t>
      </w:r>
      <w:proofErr w:type="spellStart"/>
      <w:r w:rsidRPr="00877ED0">
        <w:rPr>
          <w:rFonts w:asciiTheme="minorBidi" w:hAnsiTheme="minorBidi"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è un fatto di cronaca realmente accaduto nella Germania del 1500, scritto da Heinrich von Kleist in pagine memorabili.</w:t>
      </w:r>
    </w:p>
    <w:p w14:paraId="4490FC98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Nel mio racconto orale è come se avessi aggiunto allo scheletro osseo riconoscibile della struttura del racconto di Kleist, nervi muscoli e pelle che provengono non più dall’autore originario ma dalla mia esperienza, teatrale e narrativa, dal mio mondo di visioni e di poetica. </w:t>
      </w:r>
      <w:proofErr w:type="gramStart"/>
      <w:r w:rsidRPr="00877ED0">
        <w:rPr>
          <w:rFonts w:asciiTheme="minorBidi" w:hAnsiTheme="minorBidi"/>
          <w:sz w:val="26"/>
          <w:szCs w:val="26"/>
        </w:rPr>
        <w:t>Così ad esempio</w:t>
      </w:r>
      <w:proofErr w:type="gramEnd"/>
      <w:r w:rsidRPr="00877ED0">
        <w:rPr>
          <w:rFonts w:asciiTheme="minorBidi" w:hAnsiTheme="minorBidi"/>
          <w:sz w:val="26"/>
          <w:szCs w:val="26"/>
        </w:rPr>
        <w:t xml:space="preserve"> tutta la metafora sul cerchio del cuore paragonato al cerchio del recinto dei cavalli, che torna più volte nella narrazione, come luogo simbolico di un senso della giustizia umanissimo e concreto, è una mia invenzione, nel senso etimologico del termine, qualcosa che ho trovato a forza di cercare una mia adesione al racconto di Kleist.</w:t>
      </w:r>
    </w:p>
    <w:p w14:paraId="09372CC3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</w:p>
    <w:p w14:paraId="24BCEAA4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Così via via il testo originale si è come andato perdendo e ne nasceva un altro, un work in progress alla prova di spettatori sempre diversi, anno dopo anno, in spazi teatrali e </w:t>
      </w:r>
      <w:proofErr w:type="gramStart"/>
      <w:r w:rsidRPr="00877ED0">
        <w:rPr>
          <w:rFonts w:asciiTheme="minorBidi" w:hAnsiTheme="minorBidi"/>
          <w:sz w:val="26"/>
          <w:szCs w:val="26"/>
        </w:rPr>
        <w:t>non</w:t>
      </w:r>
      <w:proofErr w:type="gramEnd"/>
      <w:r w:rsidRPr="00877ED0">
        <w:rPr>
          <w:rFonts w:asciiTheme="minorBidi" w:hAnsiTheme="minorBidi"/>
          <w:sz w:val="26"/>
          <w:szCs w:val="26"/>
        </w:rPr>
        <w:t>, secondo un procedimento di crescita che ai miei occhi appare come qualcosa di organico, come mi si formasse tra le mani un organismo vivente sempre più ricco e differenziato.</w:t>
      </w:r>
    </w:p>
    <w:p w14:paraId="7E825916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Accade nell’arte del racconto orale che per cercare personaggi interiori occorra compiere lunghi percorsi, passare attraverso storie di altre storie, sentirsi stranieri in questo mondo dopo aver tanto peregrinato, fino a trovare quel punto incandescente capace di generare a sua volta nell’ascoltatore un mondo di visioni, non necessariamente coincidenti con le mie.</w:t>
      </w:r>
    </w:p>
    <w:p w14:paraId="69A09414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L’arte sta nel non nominare troppo, nel cogliere il cuore di un’esperienza con pochi tratti lasciando molto in ombra, molto ancora da compiersi.</w:t>
      </w:r>
    </w:p>
    <w:p w14:paraId="505DC378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proofErr w:type="spellStart"/>
      <w:r w:rsidRPr="00877ED0">
        <w:rPr>
          <w:rFonts w:asciiTheme="minorBidi" w:hAnsiTheme="minorBidi"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è la storia di un sopruso che, non risolto attraverso le vie del diritto, genera una spirale di violenze sempre più incontrollabili, ma sempre in nome di un ideale di giustizia naturale e terrena, fino a che il conflitto generatore dell’intera vicenda, cos’è la giustizia e fino a che punto in nome della giustizia si può diventare giustizieri, non si risolve tragicamente lasciando intorno alla figura del protagonista una ambigua aura di </w:t>
      </w:r>
      <w:proofErr w:type="spellStart"/>
      <w:r w:rsidRPr="00877ED0">
        <w:rPr>
          <w:rFonts w:asciiTheme="minorBidi" w:hAnsiTheme="minorBidi"/>
          <w:sz w:val="26"/>
          <w:szCs w:val="26"/>
        </w:rPr>
        <w:t>possibile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eroe del suo tempo.</w:t>
      </w:r>
    </w:p>
    <w:p w14:paraId="3820A444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Le domande morali che la vicenda solleva e lascia sospese, mi sembrarono, quando comincia ad affrontare l’impresa memorabile del racconto, un modo per parlare degli anni ’70, per parlare di quei conflitti in cui venne a trovarsi la mia generazione, quella del ’68, quando in nome di un superiore ideale di giustizia sociale si arrivò a insanguinare piazze e città.</w:t>
      </w:r>
    </w:p>
    <w:p w14:paraId="574A9E17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In fondo, a voler rivedere all’indietro il mio percorso artistico, senza </w:t>
      </w:r>
      <w:proofErr w:type="spellStart"/>
      <w:r w:rsidRPr="00877ED0">
        <w:rPr>
          <w:rFonts w:asciiTheme="minorBidi" w:hAnsiTheme="minorBidi"/>
          <w:sz w:val="26"/>
          <w:szCs w:val="26"/>
        </w:rPr>
        <w:t>Kohlhaas</w:t>
      </w:r>
      <w:proofErr w:type="spellEnd"/>
      <w:r w:rsidRPr="00877ED0">
        <w:rPr>
          <w:rFonts w:asciiTheme="minorBidi" w:hAnsiTheme="minorBidi"/>
          <w:sz w:val="26"/>
          <w:szCs w:val="26"/>
        </w:rPr>
        <w:t xml:space="preserve"> non sarei arrivato a raccontare Corpo di Stato, racconto teatrale andato in onda in diretta televisiva la notte del 9 maggio, vent’anni dopo la morte di Moro, a poter ritrovare i medesimi conflitti, riuscendo questa volta a parlarne dall’interno, come soggetto coinvolto nei fatti narrati.</w:t>
      </w:r>
    </w:p>
    <w:p w14:paraId="649FCCF1" w14:textId="77777777" w:rsidR="00280397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 xml:space="preserve">Un tema antico, dunque, tragico nella tradizione e nella forma, che continua a catturarmi, perché il narratore non può che narrare ciò che epicamente lo coinvolge nell’intera sua persona, a me succede così: non potrei raccontare qualsiasi cosa. </w:t>
      </w:r>
    </w:p>
    <w:p w14:paraId="61862BAA" w14:textId="77777777" w:rsidR="00280397" w:rsidRDefault="00280397" w:rsidP="00280397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- Marco Baliani</w:t>
      </w:r>
    </w:p>
    <w:p w14:paraId="73460B18" w14:textId="77777777" w:rsidR="00280397" w:rsidRDefault="00280397" w:rsidP="00280397">
      <w:pPr>
        <w:rPr>
          <w:rFonts w:asciiTheme="minorBidi" w:hAnsiTheme="minorBidi"/>
          <w:sz w:val="26"/>
          <w:szCs w:val="26"/>
        </w:rPr>
      </w:pPr>
    </w:p>
    <w:p w14:paraId="61249EF6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ORARI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Pr="00BE5892">
        <w:rPr>
          <w:rFonts w:asciiTheme="minorBidi" w:hAnsiTheme="minorBidi"/>
          <w:sz w:val="26"/>
          <w:szCs w:val="26"/>
        </w:rPr>
        <w:t xml:space="preserve">domenica 10 </w:t>
      </w:r>
      <w:proofErr w:type="gramStart"/>
      <w:r w:rsidRPr="00BE5892">
        <w:rPr>
          <w:rFonts w:asciiTheme="minorBidi" w:hAnsiTheme="minorBidi"/>
          <w:sz w:val="26"/>
          <w:szCs w:val="26"/>
        </w:rPr>
        <w:t>Novembre</w:t>
      </w:r>
      <w:proofErr w:type="gramEnd"/>
      <w:r w:rsidRPr="00BE5892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sz w:val="26"/>
          <w:szCs w:val="26"/>
        </w:rPr>
        <w:t>– 18.30</w:t>
      </w:r>
    </w:p>
    <w:p w14:paraId="54F33E53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</w:p>
    <w:p w14:paraId="12AAD2C4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</w:p>
    <w:p w14:paraId="3E647029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PREZZI</w:t>
      </w:r>
      <w:r w:rsidRPr="00BE5892">
        <w:rPr>
          <w:rFonts w:asciiTheme="minorBidi" w:hAnsiTheme="minorBidi"/>
          <w:sz w:val="26"/>
          <w:szCs w:val="26"/>
        </w:rPr>
        <w:br/>
        <w:t>SETTORE A (file A–E)</w:t>
      </w:r>
      <w:r w:rsidRPr="00BE5892">
        <w:rPr>
          <w:rFonts w:asciiTheme="minorBidi" w:hAnsiTheme="minorBidi"/>
          <w:sz w:val="26"/>
          <w:szCs w:val="26"/>
        </w:rPr>
        <w:br/>
        <w:t>intero 30€</w:t>
      </w:r>
      <w:r w:rsidRPr="00BE5892">
        <w:rPr>
          <w:rFonts w:asciiTheme="minorBidi" w:hAnsiTheme="minorBidi"/>
          <w:sz w:val="26"/>
          <w:szCs w:val="26"/>
        </w:rPr>
        <w:br/>
        <w:t>SETTORE B (file F–R)</w:t>
      </w:r>
      <w:r w:rsidRPr="00BE5892">
        <w:rPr>
          <w:rFonts w:asciiTheme="minorBidi" w:hAnsiTheme="minorBidi"/>
          <w:sz w:val="26"/>
          <w:szCs w:val="26"/>
        </w:rPr>
        <w:br/>
        <w:t>intero 22€;</w:t>
      </w:r>
      <w:r w:rsidRPr="00BE5892">
        <w:rPr>
          <w:rFonts w:asciiTheme="minorBidi" w:hAnsiTheme="minorBidi"/>
          <w:sz w:val="26"/>
          <w:szCs w:val="26"/>
        </w:rPr>
        <w:br/>
        <w:t>under26/over65/Carta giovani 15€;</w:t>
      </w:r>
      <w:r w:rsidRPr="00BE5892">
        <w:rPr>
          <w:rFonts w:asciiTheme="minorBidi" w:hAnsiTheme="minorBidi"/>
          <w:sz w:val="26"/>
          <w:szCs w:val="26"/>
        </w:rPr>
        <w:br/>
      </w:r>
      <w:hyperlink r:id="rId4" w:history="1">
        <w:r w:rsidRPr="00BE5892">
          <w:rPr>
            <w:rStyle w:val="Hyperlink"/>
            <w:rFonts w:asciiTheme="minorBidi" w:hAnsiTheme="minorBidi"/>
            <w:sz w:val="26"/>
            <w:szCs w:val="26"/>
          </w:rPr>
          <w:t>convenzioni</w:t>
        </w:r>
      </w:hyperlink>
      <w:r w:rsidRPr="00BE5892">
        <w:rPr>
          <w:rFonts w:asciiTheme="minorBidi" w:hAnsiTheme="minorBidi"/>
          <w:sz w:val="26"/>
          <w:szCs w:val="26"/>
        </w:rPr>
        <w:t> 18€</w:t>
      </w:r>
      <w:r w:rsidRPr="00BE5892">
        <w:rPr>
          <w:rFonts w:asciiTheme="minorBidi" w:hAnsiTheme="minorBidi"/>
          <w:sz w:val="26"/>
          <w:szCs w:val="26"/>
        </w:rPr>
        <w:br/>
        <w:t>SETTORE C (file S–ZZ)</w:t>
      </w:r>
      <w:r w:rsidRPr="00BE5892">
        <w:rPr>
          <w:rFonts w:asciiTheme="minorBidi" w:hAnsiTheme="minorBidi"/>
          <w:sz w:val="26"/>
          <w:szCs w:val="26"/>
        </w:rPr>
        <w:br/>
        <w:t>intero 18€;</w:t>
      </w:r>
      <w:r w:rsidRPr="00BE5892">
        <w:rPr>
          <w:rFonts w:asciiTheme="minorBidi" w:hAnsiTheme="minorBidi"/>
          <w:sz w:val="26"/>
          <w:szCs w:val="26"/>
        </w:rPr>
        <w:br/>
        <w:t>under26/over65/Carta giovani 15€</w:t>
      </w:r>
      <w:r w:rsidRPr="00BE5892">
        <w:rPr>
          <w:rFonts w:asciiTheme="minorBidi" w:hAnsiTheme="minorBidi"/>
          <w:sz w:val="26"/>
          <w:szCs w:val="26"/>
        </w:rPr>
        <w:br/>
      </w:r>
      <w:hyperlink r:id="rId5" w:history="1">
        <w:r w:rsidRPr="00BE5892">
          <w:rPr>
            <w:rStyle w:val="Hyperlink"/>
            <w:rFonts w:asciiTheme="minorBidi" w:hAnsiTheme="minorBidi"/>
            <w:sz w:val="26"/>
            <w:szCs w:val="26"/>
          </w:rPr>
          <w:t>convenzioni</w:t>
        </w:r>
      </w:hyperlink>
      <w:r w:rsidRPr="00BE5892">
        <w:rPr>
          <w:rFonts w:asciiTheme="minorBidi" w:hAnsiTheme="minorBidi"/>
          <w:sz w:val="26"/>
          <w:szCs w:val="26"/>
        </w:rPr>
        <w:t> 18€</w:t>
      </w:r>
    </w:p>
    <w:p w14:paraId="2E2FAF42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pict w14:anchorId="6427DE27">
          <v:rect id="_x0000_i1025" style="width:0;height:1.5pt" o:hralign="center" o:hrstd="t" o:hr="t" fillcolor="#a0a0a0" stroked="f"/>
        </w:pict>
      </w:r>
    </w:p>
    <w:p w14:paraId="7663530F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Tutti i prezzi non includono i diritti di prevendita.</w:t>
      </w:r>
    </w:p>
    <w:p w14:paraId="5B766FB7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</w:p>
    <w:p w14:paraId="69A8B6B0" w14:textId="77777777" w:rsidR="00280397" w:rsidRPr="00BE5892" w:rsidRDefault="00280397" w:rsidP="00280397">
      <w:pPr>
        <w:rPr>
          <w:rFonts w:asciiTheme="minorBidi" w:hAnsiTheme="minorBidi"/>
          <w:b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Info e biglietteria</w:t>
      </w:r>
    </w:p>
    <w:p w14:paraId="08757DC5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Biglietteria</w:t>
      </w:r>
      <w:r w:rsidRPr="00BE5892">
        <w:rPr>
          <w:rFonts w:asciiTheme="minorBidi" w:hAnsiTheme="minorBidi"/>
          <w:sz w:val="26"/>
          <w:szCs w:val="26"/>
        </w:rPr>
        <w:br/>
        <w:t>via Pier Lombardo 14</w:t>
      </w:r>
      <w:r w:rsidRPr="00BE5892">
        <w:rPr>
          <w:rFonts w:asciiTheme="minorBidi" w:hAnsiTheme="minorBidi"/>
          <w:sz w:val="26"/>
          <w:szCs w:val="26"/>
        </w:rPr>
        <w:br/>
      </w:r>
      <w:hyperlink r:id="rId6">
        <w:r w:rsidRPr="00BE5892">
          <w:rPr>
            <w:rStyle w:val="Hyperlink"/>
            <w:rFonts w:asciiTheme="minorBidi" w:hAnsiTheme="minorBidi"/>
            <w:sz w:val="26"/>
            <w:szCs w:val="26"/>
          </w:rPr>
          <w:t>02 59995206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  <w:hyperlink r:id="rId7">
        <w:r w:rsidRPr="00BE5892">
          <w:rPr>
            <w:rStyle w:val="Hyperlink"/>
            <w:rFonts w:asciiTheme="minorBidi" w:hAnsiTheme="minorBidi"/>
            <w:sz w:val="26"/>
            <w:szCs w:val="26"/>
          </w:rPr>
          <w:t>biglietteria@teatrofrancoparenti.it</w:t>
        </w:r>
      </w:hyperlink>
    </w:p>
    <w:p w14:paraId="1E669D66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</w:p>
    <w:p w14:paraId="61B119AF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Ufficio Stampa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Pr="00BE5892">
        <w:rPr>
          <w:rFonts w:asciiTheme="minorBidi" w:hAnsiTheme="minorBidi"/>
          <w:sz w:val="26"/>
          <w:szCs w:val="26"/>
        </w:rPr>
        <w:t>Francesco Malcangio</w:t>
      </w:r>
      <w:r w:rsidRPr="00BE5892">
        <w:rPr>
          <w:rFonts w:asciiTheme="minorBidi" w:hAnsiTheme="minorBidi"/>
          <w:sz w:val="26"/>
          <w:szCs w:val="26"/>
        </w:rPr>
        <w:br/>
        <w:t>Teatro Franco Parenti</w:t>
      </w:r>
      <w:r w:rsidRPr="00BE5892">
        <w:rPr>
          <w:rFonts w:asciiTheme="minorBidi" w:hAnsiTheme="minorBidi"/>
          <w:sz w:val="26"/>
          <w:szCs w:val="26"/>
        </w:rPr>
        <w:br/>
        <w:t>Via Vasari,15 - 20135 - Milano</w:t>
      </w:r>
      <w:r w:rsidRPr="00BE5892">
        <w:rPr>
          <w:rFonts w:asciiTheme="minorBidi" w:hAnsiTheme="minorBidi"/>
          <w:sz w:val="26"/>
          <w:szCs w:val="26"/>
        </w:rPr>
        <w:br/>
        <w:t>Tel. +39 02 59 99 52 17</w:t>
      </w:r>
      <w:r w:rsidRPr="00BE5892">
        <w:rPr>
          <w:rFonts w:asciiTheme="minorBidi" w:hAnsiTheme="minorBidi"/>
          <w:sz w:val="26"/>
          <w:szCs w:val="26"/>
        </w:rPr>
        <w:br/>
        <w:t>Mob. </w:t>
      </w:r>
      <w:hyperlink r:id="rId8">
        <w:r w:rsidRPr="00BE5892">
          <w:rPr>
            <w:rStyle w:val="Hyperlink"/>
            <w:rFonts w:asciiTheme="minorBidi" w:hAnsiTheme="minorBidi"/>
            <w:sz w:val="26"/>
            <w:szCs w:val="26"/>
          </w:rPr>
          <w:t>346 417 91 36 </w:t>
        </w:r>
      </w:hyperlink>
    </w:p>
    <w:p w14:paraId="6233414A" w14:textId="77777777" w:rsidR="00280397" w:rsidRPr="00BE5892" w:rsidRDefault="00280397" w:rsidP="00280397">
      <w:pPr>
        <w:rPr>
          <w:rFonts w:asciiTheme="minorBidi" w:hAnsiTheme="minorBidi"/>
          <w:sz w:val="26"/>
          <w:szCs w:val="26"/>
        </w:rPr>
      </w:pPr>
      <w:hyperlink r:id="rId9">
        <w:r w:rsidRPr="00BE5892">
          <w:rPr>
            <w:rStyle w:val="Hyperlink"/>
            <w:rFonts w:asciiTheme="minorBidi" w:hAnsiTheme="minorBidi"/>
            <w:sz w:val="26"/>
            <w:szCs w:val="26"/>
          </w:rPr>
          <w:t>http://www.teatrofrancoparenti.it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</w:p>
    <w:p w14:paraId="635C913E" w14:textId="77777777" w:rsidR="00280397" w:rsidRPr="00BE5892" w:rsidRDefault="00280397" w:rsidP="00280397">
      <w:pPr>
        <w:rPr>
          <w:rFonts w:asciiTheme="minorBidi" w:hAnsiTheme="minorBidi"/>
          <w:b/>
          <w:sz w:val="26"/>
          <w:szCs w:val="26"/>
        </w:rPr>
      </w:pPr>
    </w:p>
    <w:p w14:paraId="713CDDCC" w14:textId="77777777" w:rsidR="00280397" w:rsidRPr="00877ED0" w:rsidRDefault="00280397" w:rsidP="00280397">
      <w:pPr>
        <w:rPr>
          <w:rFonts w:asciiTheme="minorBidi" w:hAnsiTheme="minorBidi"/>
          <w:sz w:val="26"/>
          <w:szCs w:val="26"/>
        </w:rPr>
      </w:pPr>
    </w:p>
    <w:p w14:paraId="7E37FDAC" w14:textId="77777777" w:rsidR="00A62895" w:rsidRDefault="00A62895"/>
    <w:sectPr w:rsidR="00A62895" w:rsidSect="00280397">
      <w:headerReference w:type="default" r:id="rId10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D8FD" w14:textId="77777777" w:rsidR="00280397" w:rsidRDefault="0028039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34DE0" wp14:editId="38EF7692">
          <wp:simplePos x="0" y="0"/>
          <wp:positionH relativeFrom="margin">
            <wp:posOffset>1040765</wp:posOffset>
          </wp:positionH>
          <wp:positionV relativeFrom="paragraph">
            <wp:posOffset>-497840</wp:posOffset>
          </wp:positionV>
          <wp:extent cx="4051300" cy="1016000"/>
          <wp:effectExtent l="0" t="0" r="6350" b="0"/>
          <wp:wrapSquare wrapText="bothSides"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3241BF" w14:textId="77777777" w:rsidR="00280397" w:rsidRDefault="00280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E0"/>
    <w:rsid w:val="000B68E0"/>
    <w:rsid w:val="00280397"/>
    <w:rsid w:val="00566873"/>
    <w:rsid w:val="00A62895"/>
    <w:rsid w:val="00D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3F54-12B7-4245-A152-95D21841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97"/>
  </w:style>
  <w:style w:type="paragraph" w:styleId="Heading1">
    <w:name w:val="heading 1"/>
    <w:basedOn w:val="Normal"/>
    <w:next w:val="Normal"/>
    <w:link w:val="Heading1Char"/>
    <w:uiPriority w:val="9"/>
    <w:qFormat/>
    <w:rsid w:val="000B6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8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8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8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8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8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8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8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97"/>
  </w:style>
  <w:style w:type="character" w:styleId="Hyperlink">
    <w:name w:val="Hyperlink"/>
    <w:basedOn w:val="DefaultParagraphFont"/>
    <w:uiPriority w:val="99"/>
    <w:unhideWhenUsed/>
    <w:rsid w:val="0028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trofrancoparenti.it/convenzioni/" TargetMode="External"/><Relationship Id="rId10" Type="http://schemas.openxmlformats.org/officeDocument/2006/relationships/header" Target="header1.xml"/><Relationship Id="rId4" Type="http://schemas.openxmlformats.org/officeDocument/2006/relationships/hyperlink" Target="https://teatrofrancoparenti.it/convenzioni/" TargetMode="Externa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2024-10-23T10:43:00Z</dcterms:created>
  <dcterms:modified xsi:type="dcterms:W3CDTF">2024-10-23T10:44:00Z</dcterms:modified>
</cp:coreProperties>
</file>