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23 - 28 Aprile 2024 | Sala blu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br w:type="textWrapping"/>
        <w:t xml:space="preserve">LE MIE TRE SORELLE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basato su una storia vera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regia e sceneggiatura Ashkan Khatibi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 Sadaf Baghbani, Saba Poori, Nazanin Aban, Taher Nikkhah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cantante Sahba Khalili Amiri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costumi Delshad Marsous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scenografia Taher Nikkhah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assistenti di scena Alma, Ava, Tina Karam Zadeh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assistenti alla regia Michele Marelli, Ghazal Shamlou, Arash Shojaei, Tina Karam Zadeh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traduzione dal persiano Michele Marelli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produzione Teatro Franco Parenti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Durata: 1 ora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 scena dal 23 al 28 Aprile nella Sala Blu del Teatro Franco Parenti,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 Le mie tre sorelle,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ispirato alla pièce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Tre sorelle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di Čechov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Il regista, attore, scrittore e cantante Ashkan Khatibi, che dopo tre decenni di lavoro e insegnamento è stato costretto a lasciare l’Iran e la sua vita a causa dell’opposizione al regime della Repubblica Islamica, porta in scena eventi realmente accaduti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Lo spettacolo racconta la storia di Sadaf, una donna coraggiosa che, durante il movimento "Donna, Vita, Libertà", ha subito un attacco dal regime clericale che le ha cambiato totalmente la vita e ora, con 150 proiettili di piombo in corpo, cerca una cura senza abbandonare il suo sogno di diventare attrice in Italia. 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rPr>
          <w:rFonts w:ascii="Arial" w:cs="Arial" w:eastAsia="Arial" w:hAnsi="Arial"/>
          <w:b w:val="0"/>
          <w:sz w:val="26"/>
          <w:szCs w:val="26"/>
        </w:rPr>
      </w:pPr>
      <w:bookmarkStart w:colFirst="0" w:colLast="0" w:name="_97vl40zb306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Aiutato dalla musica rap persiana, linguaggio ufficiale della nuova generazione iraniana, il regista dà vita ad uno spettacolo, in persiano e in italiano (con sovratitoli in italiano), che è un inno al coraggio e alla libertà.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BIOGRAFIE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Ashkan Khatibi, è uno scrittore, regista, attore e cantante iraniano. Durante la sua carriera ha portato sul palcoscenico più di venti spettacoli e musical, traducendo in persiano opere di autori come Sam Shepard e Harold Pinter ed è il fondatore del più grande gruppo teatrale giovanile in Iran, con oltre 100 membri. Dopo l'immigrazione, ha scelto Milano come luogo di vita e lavoro, fondando il nuovo gruppo teatrale "Scagnell". "Le mie tre sorelle" è la loro prima produzione.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ORARI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martedì 23 Aprile - 20:30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mercoledì 24 Aprile - 19:15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giovedì 25 Aprile - 20:30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venerdì 26 Aprile - 19:15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sabato 27 Aprile - 19:15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domenica 28 Aprile - 15:45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PREZZI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SETTORE A (file A–D)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25€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SETTORE B (file E–S)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20€; under26/over65 18€; convenzioni 18€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SETTORE C (GALLERIA)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18€; under26/over65 18€; convenzioni 18€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Tutti i prezzi non includono i diritti di prevendita.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 e biglietteria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Biglietteria</w:t>
        <w:br w:type="textWrapping"/>
        <w:t xml:space="preserve">via Pier Lombardo 14</w:t>
        <w:br w:type="textWrapping"/>
      </w:r>
      <w:hyperlink r:id="rId6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02 59995206</w:t>
          <w:br w:type="textWrapping"/>
        </w:r>
      </w:hyperlink>
      <w:hyperlink r:id="rId7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biglietteria@teatrofrancoparenti.it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Ufficio Stampa</w:t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Francesco Malcangio</w:t>
        <w:br w:type="textWrapping"/>
        <w:t xml:space="preserve">Teatro Franco Parenti</w:t>
        <w:br w:type="textWrapping"/>
        <w:t xml:space="preserve">Via Vasari,15 - 20135 - Milano</w:t>
        <w:br w:type="textWrapping"/>
        <w:t xml:space="preserve">Tel. +39 02 59 99 52 17</w:t>
        <w:br w:type="textWrapping"/>
        <w:t xml:space="preserve">Mob. </w:t>
      </w:r>
      <w:hyperlink r:id="rId8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346 417 91 36 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hyperlink r:id="rId9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http://www.teatrofrancoparenti.it</w:t>
          <w:br w:type="textWrapping"/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05130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bagnimisteriosi.it/" TargetMode="External"/><Relationship Id="rId5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7" Type="http://schemas.openxmlformats.org/officeDocument/2006/relationships/hyperlink" Target="mailto:biglietteria@teatrofrancoparenti.it" TargetMode="External"/><Relationship Id="rId8" Type="http://schemas.openxmlformats.org/officeDocument/2006/relationships/hyperlink" Target="tel:346%20417%2091%203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