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BAC8" w14:textId="77777777" w:rsidR="00E26A13" w:rsidRDefault="00E26A13"/>
    <w:p w14:paraId="04CB3E96" w14:textId="2AE91DA3" w:rsidR="00E26A13" w:rsidRPr="005D21BA" w:rsidRDefault="005D21BA" w:rsidP="005D21BA">
      <w:pPr>
        <w:rPr>
          <w:rFonts w:ascii="Franklin Gothic Book" w:hAnsi="Franklin Gothic Book"/>
          <w:color w:val="000000" w:themeColor="text1"/>
        </w:rPr>
      </w:pPr>
      <w:r>
        <w:rPr>
          <w:rFonts w:ascii="Franklin Gothic Book" w:hAnsi="Franklin Gothic Book"/>
          <w:color w:val="000000" w:themeColor="text1"/>
        </w:rPr>
        <w:t xml:space="preserve">Comunicato stampa </w:t>
      </w:r>
      <w:r>
        <w:rPr>
          <w:rFonts w:ascii="Franklin Gothic Book" w:hAnsi="Franklin Gothic Book"/>
          <w:color w:val="000000" w:themeColor="text1"/>
        </w:rPr>
        <w:br/>
      </w:r>
      <w:r>
        <w:rPr>
          <w:rFonts w:ascii="Franklin Gothic Book" w:hAnsi="Franklin Gothic Book"/>
          <w:color w:val="000000" w:themeColor="text1"/>
        </w:rPr>
        <w:br/>
      </w:r>
      <w:r>
        <w:rPr>
          <w:rFonts w:ascii="Franklin Gothic Book" w:hAnsi="Franklin Gothic Book"/>
          <w:color w:val="000000" w:themeColor="text1"/>
        </w:rPr>
        <w:br/>
      </w:r>
      <w:r w:rsidRPr="005D21BA">
        <w:rPr>
          <w:rFonts w:ascii="Franklin Gothic Book" w:hAnsi="Franklin Gothic Book"/>
          <w:color w:val="000000" w:themeColor="text1"/>
        </w:rPr>
        <w:t xml:space="preserve">1 - 6 giugno 2021 </w:t>
      </w:r>
      <w:r w:rsidRPr="005D21BA">
        <w:rPr>
          <w:rFonts w:ascii="Franklin Gothic Book" w:hAnsi="Franklin Gothic Book"/>
          <w:color w:val="000000" w:themeColor="text1"/>
        </w:rPr>
        <w:br/>
        <w:t xml:space="preserve">Sala Grande </w:t>
      </w:r>
    </w:p>
    <w:p w14:paraId="11A518C9" w14:textId="77777777" w:rsidR="005D21BA" w:rsidRPr="005D21BA" w:rsidRDefault="005D21BA" w:rsidP="005D21BA">
      <w:pPr>
        <w:spacing w:after="120"/>
        <w:outlineLvl w:val="0"/>
        <w:rPr>
          <w:rFonts w:ascii="Franklin Gothic Book" w:eastAsia="Times New Roman" w:hAnsi="Franklin Gothic Book" w:cs="Arial"/>
          <w:b/>
          <w:bCs/>
          <w:color w:val="000000" w:themeColor="text1"/>
          <w:kern w:val="36"/>
          <w:lang w:eastAsia="it-IT"/>
        </w:rPr>
      </w:pP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kern w:val="36"/>
          <w:lang w:eastAsia="it-IT"/>
        </w:rPr>
        <w:t>Il filo di mezzogiorno</w:t>
      </w:r>
    </w:p>
    <w:p w14:paraId="4ABE3894" w14:textId="77777777" w:rsidR="005D21BA" w:rsidRPr="005D21BA" w:rsidRDefault="005D21BA" w:rsidP="005D21BA">
      <w:pPr>
        <w:spacing w:beforeAutospacing="1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di </w:t>
      </w: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bdr w:val="none" w:sz="0" w:space="0" w:color="auto" w:frame="1"/>
          <w:lang w:eastAsia="it-IT"/>
        </w:rPr>
        <w:t>Goliarda Sapienza</w:t>
      </w: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bdr w:val="none" w:sz="0" w:space="0" w:color="auto" w:frame="1"/>
          <w:lang w:eastAsia="it-IT"/>
        </w:rPr>
        <w:br/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adattamento </w:t>
      </w: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bdr w:val="none" w:sz="0" w:space="0" w:color="auto" w:frame="1"/>
          <w:lang w:eastAsia="it-IT"/>
        </w:rPr>
        <w:t>Ippolita di Majo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br/>
        <w:t>regia </w:t>
      </w: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bdr w:val="none" w:sz="0" w:space="0" w:color="auto" w:frame="1"/>
          <w:lang w:eastAsia="it-IT"/>
        </w:rPr>
        <w:t>Mario Martone</w:t>
      </w: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bdr w:val="none" w:sz="0" w:space="0" w:color="auto" w:frame="1"/>
          <w:lang w:eastAsia="it-IT"/>
        </w:rPr>
        <w:br/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con </w:t>
      </w: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bdr w:val="none" w:sz="0" w:space="0" w:color="auto" w:frame="1"/>
          <w:lang w:eastAsia="it-IT"/>
        </w:rPr>
        <w:t>Donatella Finocchiaro, Roberto De Francesco</w:t>
      </w: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bdr w:val="none" w:sz="0" w:space="0" w:color="auto" w:frame="1"/>
          <w:lang w:eastAsia="it-IT"/>
        </w:rPr>
        <w:br/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scene Carmine Guarino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br/>
        <w:t>costumi Ortensia De Francesco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br/>
        <w:t>luci Cesare Accetta</w:t>
      </w:r>
    </w:p>
    <w:p w14:paraId="7E8D5795" w14:textId="1784850E" w:rsidR="005D21BA" w:rsidRPr="005D21BA" w:rsidRDefault="005D21BA" w:rsidP="005D21BA">
      <w:pPr>
        <w:spacing w:beforeAutospacing="1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5D21BA">
        <w:rPr>
          <w:rFonts w:ascii="Franklin Gothic Book" w:eastAsia="Times New Roman" w:hAnsi="Franklin Gothic Book" w:cs="Arial"/>
          <w:i/>
          <w:iCs/>
          <w:color w:val="000000" w:themeColor="text1"/>
          <w:bdr w:val="none" w:sz="0" w:space="0" w:color="auto" w:frame="1"/>
          <w:lang w:eastAsia="it-IT"/>
        </w:rPr>
        <w:t>Il filo di mezzogiorno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 è pubblicato da </w:t>
      </w:r>
      <w:r w:rsidRPr="005D21BA">
        <w:rPr>
          <w:rFonts w:ascii="Franklin Gothic Book" w:eastAsia="Times New Roman" w:hAnsi="Franklin Gothic Book" w:cs="Arial"/>
          <w:i/>
          <w:iCs/>
          <w:color w:val="000000" w:themeColor="text1"/>
          <w:bdr w:val="none" w:sz="0" w:space="0" w:color="auto" w:frame="1"/>
          <w:lang w:eastAsia="it-IT"/>
        </w:rPr>
        <w:t>La nave di Tese</w:t>
      </w:r>
      <w:r>
        <w:rPr>
          <w:rFonts w:ascii="Franklin Gothic Book" w:eastAsia="Times New Roman" w:hAnsi="Franklin Gothic Book" w:cs="Arial"/>
          <w:i/>
          <w:iCs/>
          <w:color w:val="000000" w:themeColor="text1"/>
          <w:bdr w:val="none" w:sz="0" w:space="0" w:color="auto" w:frame="1"/>
          <w:lang w:eastAsia="it-IT"/>
        </w:rPr>
        <w:t>o</w:t>
      </w:r>
      <w:r>
        <w:rPr>
          <w:rFonts w:ascii="Franklin Gothic Book" w:eastAsia="Times New Roman" w:hAnsi="Franklin Gothic Book" w:cs="Arial"/>
          <w:i/>
          <w:iCs/>
          <w:color w:val="000000" w:themeColor="text1"/>
          <w:bdr w:val="none" w:sz="0" w:space="0" w:color="auto" w:frame="1"/>
          <w:lang w:eastAsia="it-IT"/>
        </w:rPr>
        <w:br/>
      </w:r>
      <w:r w:rsidRPr="005D21BA">
        <w:rPr>
          <w:rFonts w:ascii="Franklin Gothic Book" w:eastAsia="Times New Roman" w:hAnsi="Franklin Gothic Book" w:cs="Arial"/>
          <w:i/>
          <w:iCs/>
          <w:color w:val="000000" w:themeColor="text1"/>
          <w:bdr w:val="none" w:sz="0" w:space="0" w:color="auto" w:frame="1"/>
          <w:lang w:eastAsia="it-IT"/>
        </w:rPr>
        <w:br/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produzione Teatro di Napoli – Teatro Nazionale / Teatro Stabile di Torino – Teatro Nazionale / Teatro di Roma – Teatro Nazionale / Teatro Stabile di Catania</w:t>
      </w:r>
    </w:p>
    <w:p w14:paraId="0F65FCD2" w14:textId="77777777" w:rsidR="005D21BA" w:rsidRPr="005D21BA" w:rsidRDefault="005D21BA" w:rsidP="005D21BA">
      <w:pPr>
        <w:spacing w:beforeAutospacing="1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un ringraziamento a Mario Tronco per aver musicato il canto dei pescatori delle isole Eoli</w:t>
      </w:r>
      <w:r w:rsidRPr="005D21BA">
        <w:rPr>
          <w:rFonts w:ascii="Franklin Gothic Book" w:eastAsia="Times New Roman" w:hAnsi="Franklin Gothic Book" w:cs="Arial"/>
          <w:i/>
          <w:iCs/>
          <w:color w:val="000000" w:themeColor="text1"/>
          <w:bdr w:val="none" w:sz="0" w:space="0" w:color="auto" w:frame="1"/>
          <w:lang w:eastAsia="it-IT"/>
        </w:rPr>
        <w:t>e</w:t>
      </w:r>
    </w:p>
    <w:p w14:paraId="0571B18C" w14:textId="05B49776" w:rsidR="000C2E4B" w:rsidRPr="005D21BA" w:rsidRDefault="000C2E4B" w:rsidP="005D21BA">
      <w:pPr>
        <w:jc w:val="both"/>
        <w:rPr>
          <w:rFonts w:ascii="Franklin Gothic Book" w:eastAsia="Calibri" w:hAnsi="Franklin Gothic Book" w:cs="Arial"/>
          <w:color w:val="000000" w:themeColor="text1"/>
        </w:rPr>
      </w:pPr>
    </w:p>
    <w:p w14:paraId="6ECCAE80" w14:textId="77777777" w:rsidR="005D21BA" w:rsidRPr="005D21BA" w:rsidRDefault="005D21BA" w:rsidP="005D21BA">
      <w:pPr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bdr w:val="none" w:sz="0" w:space="0" w:color="auto" w:frame="1"/>
          <w:lang w:eastAsia="it-IT"/>
        </w:rPr>
        <w:t>Mario Martone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, poliedrico regista teatrale e cinematografico e sceneggiatore incontra il mondo di </w:t>
      </w: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bdr w:val="none" w:sz="0" w:space="0" w:color="auto" w:frame="1"/>
          <w:lang w:eastAsia="it-IT"/>
        </w:rPr>
        <w:t>Goliarda Sapienza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 – autrice del grande successo </w:t>
      </w:r>
      <w:proofErr w:type="gramStart"/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postumo</w:t>
      </w:r>
      <w:proofErr w:type="gramEnd"/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 </w:t>
      </w:r>
      <w:r w:rsidRPr="005D21BA">
        <w:rPr>
          <w:rFonts w:ascii="Franklin Gothic Book" w:eastAsia="Times New Roman" w:hAnsi="Franklin Gothic Book" w:cs="Arial"/>
          <w:i/>
          <w:iCs/>
          <w:color w:val="000000" w:themeColor="text1"/>
          <w:bdr w:val="none" w:sz="0" w:space="0" w:color="auto" w:frame="1"/>
          <w:lang w:eastAsia="it-IT"/>
        </w:rPr>
        <w:t>L’arte della gioia. 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Donna fuori da tutti gli schemi e anche dalle ideologie politiche del suo tempo, fu prima partigiana, poi femminista, sempre controcorrente e contro il conformismo che ha lottato ogni mezzo, primo fra tutti la scrittura.</w:t>
      </w:r>
    </w:p>
    <w:p w14:paraId="3D4F4E26" w14:textId="012D638C" w:rsidR="005D21BA" w:rsidRPr="005D21BA" w:rsidRDefault="005D21BA" w:rsidP="005D21BA">
      <w:pPr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Il suo romanzo </w:t>
      </w:r>
      <w:r w:rsidRPr="005D21BA">
        <w:rPr>
          <w:rFonts w:ascii="Franklin Gothic Book" w:eastAsia="Times New Roman" w:hAnsi="Franklin Gothic Book" w:cs="Arial"/>
          <w:i/>
          <w:iCs/>
          <w:color w:val="000000" w:themeColor="text1"/>
          <w:bdr w:val="none" w:sz="0" w:space="0" w:color="auto" w:frame="1"/>
          <w:lang w:eastAsia="it-IT"/>
        </w:rPr>
        <w:t>Il filo di mezzogiorno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 (1969), qui riadattato per</w:t>
      </w: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bdr w:val="none" w:sz="0" w:space="0" w:color="auto" w:frame="1"/>
          <w:lang w:eastAsia="it-IT"/>
        </w:rPr>
        <w:t> Donatella Finocchiaro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, ripercorre con lucidità e una straordinaria dovizia di particolari il suo percorso psicanalitico vissuto dopo il periodo di depressione sfociato in un tentativo di suicidio. Goliarda insegue la sua memoria, insegue i ricordi, le sensazioni, le libere associazioni, lo psicoanalista la guida, la accompagna, la segue, e riuscirà a condurre la scrittrice dalle tenebre, nelle quali l’avevano sprofondata il ricovero in manicomio e i ripetuti elettroshock, alla luce della coscienza e al recupero della propria identità.</w:t>
      </w:r>
    </w:p>
    <w:p w14:paraId="4550B525" w14:textId="44422AA1" w:rsidR="005D21BA" w:rsidRPr="005D21BA" w:rsidRDefault="005D21BA" w:rsidP="005D21BA">
      <w:pPr>
        <w:rPr>
          <w:rFonts w:ascii="Franklin Gothic Book" w:eastAsia="Times New Roman" w:hAnsi="Franklin Gothic Book" w:cs="Arial"/>
          <w:color w:val="000000" w:themeColor="text1"/>
          <w:lang w:eastAsia="it-IT"/>
        </w:rPr>
      </w:pPr>
    </w:p>
    <w:p w14:paraId="5B182D72" w14:textId="77777777" w:rsidR="005D21BA" w:rsidRPr="005D21BA" w:rsidRDefault="005D21BA" w:rsidP="005D21BA">
      <w:pPr>
        <w:textAlignment w:val="baseline"/>
        <w:rPr>
          <w:rFonts w:ascii="Franklin Gothic Book" w:eastAsia="Times New Roman" w:hAnsi="Franklin Gothic Book" w:cs="Arial"/>
          <w:b/>
          <w:bCs/>
          <w:color w:val="000000" w:themeColor="text1"/>
          <w:lang w:eastAsia="it-IT"/>
        </w:rPr>
      </w:pPr>
      <w:r w:rsidRPr="005D21BA">
        <w:rPr>
          <w:rFonts w:ascii="Franklin Gothic Book" w:eastAsia="Times New Roman" w:hAnsi="Franklin Gothic Book" w:cs="Arial"/>
          <w:b/>
          <w:bCs/>
          <w:color w:val="000000" w:themeColor="text1"/>
          <w:lang w:eastAsia="it-IT"/>
        </w:rPr>
        <w:t>Date e orari</w:t>
      </w:r>
    </w:p>
    <w:p w14:paraId="58FF5A56" w14:textId="15A75DB9" w:rsidR="005D21BA" w:rsidRPr="005D21BA" w:rsidRDefault="005D21BA" w:rsidP="005D21BA">
      <w:pPr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martedì 1 Giugno h 19:30</w:t>
      </w:r>
      <w:r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, 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mercoledì 2 Giugno h 19:30</w:t>
      </w:r>
      <w:r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, 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giovedì 3 Giugno h 19:</w:t>
      </w:r>
      <w:proofErr w:type="gramStart"/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30</w:t>
      </w:r>
      <w:r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,  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venerdì</w:t>
      </w:r>
      <w:proofErr w:type="gramEnd"/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 4 Giugno h 19:30</w:t>
      </w:r>
      <w:r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, 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sabato 5 Giugno h 19:30</w:t>
      </w:r>
      <w:r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, </w:t>
      </w:r>
      <w:r w:rsidRPr="005D21BA">
        <w:rPr>
          <w:rFonts w:ascii="Franklin Gothic Book" w:eastAsia="Times New Roman" w:hAnsi="Franklin Gothic Book" w:cs="Arial"/>
          <w:color w:val="000000" w:themeColor="text1"/>
          <w:lang w:eastAsia="it-IT"/>
        </w:rPr>
        <w:t>domenica 6 Giugno h 19:30</w:t>
      </w:r>
    </w:p>
    <w:p w14:paraId="396A2DCB" w14:textId="77777777" w:rsidR="005D21BA" w:rsidRPr="005D21BA" w:rsidRDefault="005D21BA" w:rsidP="005D21BA">
      <w:pPr>
        <w:rPr>
          <w:rFonts w:ascii="Franklin Gothic Book" w:eastAsia="Times New Roman" w:hAnsi="Franklin Gothic Book" w:cs="Arial"/>
          <w:b/>
          <w:bCs/>
          <w:color w:val="000000" w:themeColor="text1"/>
          <w:lang w:eastAsia="it-IT"/>
        </w:rPr>
      </w:pPr>
    </w:p>
    <w:p w14:paraId="67B5470D" w14:textId="50C350CE" w:rsidR="005D21BA" w:rsidRPr="005D21BA" w:rsidRDefault="005D21BA" w:rsidP="005D21BA">
      <w:pPr>
        <w:textAlignment w:val="baseline"/>
        <w:rPr>
          <w:rFonts w:ascii="Franklin Gothic Book" w:hAnsi="Franklin Gothic Book" w:cs="Arial"/>
          <w:b/>
          <w:bCs/>
          <w:color w:val="000000" w:themeColor="text1"/>
        </w:rPr>
      </w:pPr>
      <w:r w:rsidRPr="005D21BA">
        <w:rPr>
          <w:rFonts w:ascii="Franklin Gothic Book" w:hAnsi="Franklin Gothic Book" w:cs="Arial"/>
          <w:b/>
          <w:bCs/>
          <w:color w:val="000000" w:themeColor="text1"/>
        </w:rPr>
        <w:t>Biglietti</w:t>
      </w:r>
    </w:p>
    <w:p w14:paraId="49E4C311" w14:textId="77777777" w:rsidR="005D21BA" w:rsidRPr="005D21BA" w:rsidRDefault="005D21BA" w:rsidP="005D21BA">
      <w:pPr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5D21BA">
        <w:rPr>
          <w:rFonts w:ascii="Franklin Gothic Book" w:hAnsi="Franklin Gothic Book" w:cs="Arial"/>
          <w:color w:val="000000" w:themeColor="text1"/>
        </w:rPr>
        <w:t>I settore&gt; intero 38€</w:t>
      </w:r>
      <w:r w:rsidRPr="005D21BA">
        <w:rPr>
          <w:rFonts w:ascii="Franklin Gothic Book" w:hAnsi="Franklin Gothic Book" w:cs="Arial"/>
          <w:color w:val="000000" w:themeColor="text1"/>
        </w:rPr>
        <w:br/>
        <w:t>II settore &gt; intero 30€; under26/over65 18€;</w:t>
      </w:r>
      <w:r w:rsidRPr="005D21BA">
        <w:rPr>
          <w:rStyle w:val="apple-converted-space"/>
          <w:rFonts w:ascii="Franklin Gothic Book" w:hAnsi="Franklin Gothic Book" w:cs="Arial"/>
          <w:color w:val="000000" w:themeColor="text1"/>
        </w:rPr>
        <w:t> </w:t>
      </w:r>
      <w:hyperlink r:id="rId6" w:history="1">
        <w:r w:rsidRPr="005D21BA">
          <w:rPr>
            <w:rStyle w:val="Collegamentoipertestuale"/>
            <w:rFonts w:ascii="Franklin Gothic Book" w:hAnsi="Franklin Gothic Book" w:cs="Arial"/>
            <w:color w:val="000000" w:themeColor="text1"/>
            <w:bdr w:val="none" w:sz="0" w:space="0" w:color="auto" w:frame="1"/>
          </w:rPr>
          <w:t>convenzioni</w:t>
        </w:r>
      </w:hyperlink>
      <w:r w:rsidRPr="005D21BA">
        <w:rPr>
          <w:rFonts w:ascii="Franklin Gothic Book" w:hAnsi="Franklin Gothic Book" w:cs="Arial"/>
          <w:color w:val="000000" w:themeColor="text1"/>
        </w:rPr>
        <w:t> 21€</w:t>
      </w:r>
      <w:r w:rsidRPr="005D21BA">
        <w:rPr>
          <w:rFonts w:ascii="Franklin Gothic Book" w:hAnsi="Franklin Gothic Book" w:cs="Arial"/>
          <w:color w:val="000000" w:themeColor="text1"/>
        </w:rPr>
        <w:br/>
        <w:t>III settore &gt; intero 21€; under26/over65 18€;</w:t>
      </w:r>
      <w:r w:rsidRPr="005D21BA">
        <w:rPr>
          <w:rStyle w:val="apple-converted-space"/>
          <w:rFonts w:ascii="Franklin Gothic Book" w:hAnsi="Franklin Gothic Book" w:cs="Arial"/>
          <w:color w:val="000000" w:themeColor="text1"/>
        </w:rPr>
        <w:t> </w:t>
      </w:r>
      <w:hyperlink r:id="rId7" w:history="1">
        <w:r w:rsidRPr="005D21BA">
          <w:rPr>
            <w:rStyle w:val="Collegamentoipertestuale"/>
            <w:rFonts w:ascii="Franklin Gothic Book" w:hAnsi="Franklin Gothic Book" w:cs="Arial"/>
            <w:color w:val="000000" w:themeColor="text1"/>
            <w:bdr w:val="none" w:sz="0" w:space="0" w:color="auto" w:frame="1"/>
          </w:rPr>
          <w:t>convenzioni</w:t>
        </w:r>
      </w:hyperlink>
      <w:r w:rsidRPr="005D21BA">
        <w:rPr>
          <w:rFonts w:ascii="Franklin Gothic Book" w:hAnsi="Franklin Gothic Book" w:cs="Arial"/>
          <w:color w:val="000000" w:themeColor="text1"/>
        </w:rPr>
        <w:t> 21€</w:t>
      </w:r>
      <w:r w:rsidRPr="005D21BA">
        <w:rPr>
          <w:rFonts w:ascii="Franklin Gothic Book" w:hAnsi="Franklin Gothic Book" w:cs="Arial"/>
          <w:color w:val="000000" w:themeColor="text1"/>
        </w:rPr>
        <w:br/>
        <w:t>_________________________</w:t>
      </w:r>
      <w:r w:rsidRPr="005D21BA">
        <w:rPr>
          <w:rFonts w:ascii="Franklin Gothic Book" w:hAnsi="Franklin Gothic Book" w:cs="Arial"/>
          <w:color w:val="000000" w:themeColor="text1"/>
        </w:rPr>
        <w:br/>
        <w:t>Tutti i prezzi sono da intendersi</w:t>
      </w:r>
      <w:r w:rsidRPr="005D21BA">
        <w:rPr>
          <w:rStyle w:val="apple-converted-space"/>
          <w:rFonts w:ascii="Franklin Gothic Book" w:hAnsi="Franklin Gothic Book" w:cs="Arial"/>
          <w:color w:val="000000" w:themeColor="text1"/>
        </w:rPr>
        <w:t> </w:t>
      </w:r>
      <w:r w:rsidRPr="005D21BA">
        <w:rPr>
          <w:rStyle w:val="Enfasicorsivo"/>
          <w:rFonts w:ascii="Franklin Gothic Book" w:hAnsi="Franklin Gothic Book" w:cs="Arial"/>
          <w:color w:val="000000" w:themeColor="text1"/>
          <w:bdr w:val="none" w:sz="0" w:space="0" w:color="auto" w:frame="1"/>
        </w:rPr>
        <w:t>+ prevendita</w:t>
      </w:r>
      <w:r w:rsidRPr="005D21BA">
        <w:rPr>
          <w:rStyle w:val="Enfasicorsivo"/>
          <w:rFonts w:ascii="Franklin Gothic Book" w:hAnsi="Franklin Gothic Book" w:cs="Arial"/>
          <w:color w:val="000000" w:themeColor="text1"/>
          <w:bdr w:val="none" w:sz="0" w:space="0" w:color="auto" w:frame="1"/>
        </w:rPr>
        <w:br/>
      </w:r>
      <w:r w:rsidRPr="005D21BA">
        <w:rPr>
          <w:rStyle w:val="Enfasicorsivo"/>
          <w:rFonts w:ascii="Franklin Gothic Book" w:hAnsi="Franklin Gothic Book" w:cs="Arial"/>
          <w:color w:val="000000" w:themeColor="text1"/>
          <w:bdr w:val="none" w:sz="0" w:space="0" w:color="auto" w:frame="1"/>
        </w:rPr>
        <w:br/>
      </w:r>
      <w:r w:rsidRPr="005D21BA">
        <w:rPr>
          <w:rFonts w:ascii="Arial" w:hAnsi="Arial" w:cs="Arial"/>
          <w:b/>
          <w:bCs/>
          <w:color w:val="000000" w:themeColor="text1"/>
          <w:sz w:val="21"/>
          <w:szCs w:val="21"/>
        </w:rPr>
        <w:t>Info e biglietteria</w:t>
      </w:r>
    </w:p>
    <w:p w14:paraId="2BA557FE" w14:textId="3E31553A" w:rsidR="005D21BA" w:rsidRPr="005D21BA" w:rsidRDefault="005D21BA" w:rsidP="005D21BA">
      <w:pPr>
        <w:pStyle w:val="pp-paragrafo-western"/>
        <w:spacing w:before="0" w:beforeAutospacing="0" w:after="0" w:afterAutospacing="0"/>
        <w:textAlignment w:val="baseline"/>
        <w:rPr>
          <w:rFonts w:ascii="Franklin Gothic Book" w:eastAsia="Calibri" w:hAnsi="Franklin Gothic Book" w:cs="Arial"/>
          <w:color w:val="000000" w:themeColor="text1"/>
        </w:rPr>
      </w:pPr>
      <w:r w:rsidRPr="005D21BA">
        <w:rPr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Biglietteria</w:t>
      </w:r>
      <w:r w:rsidRPr="005D21BA">
        <w:rPr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br/>
        <w:t>via Pier Lombardo 14</w:t>
      </w:r>
      <w:r w:rsidRPr="005D21BA">
        <w:rPr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br/>
      </w:r>
      <w:hyperlink r:id="rId8" w:history="1">
        <w:r w:rsidRPr="005D21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bdr w:val="none" w:sz="0" w:space="0" w:color="auto" w:frame="1"/>
          </w:rPr>
          <w:t>02 59995206</w:t>
        </w:r>
      </w:hyperlink>
      <w:r w:rsidRPr="005D21BA">
        <w:rPr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br/>
      </w:r>
      <w:hyperlink r:id="rId9" w:history="1">
        <w:r w:rsidRPr="005D21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bdr w:val="none" w:sz="0" w:space="0" w:color="auto" w:frame="1"/>
          </w:rPr>
          <w:t>biglietteria@teatrofrancoparenti.it</w:t>
        </w:r>
      </w:hyperlink>
    </w:p>
    <w:sectPr w:rsidR="005D21BA" w:rsidRPr="005D21BA" w:rsidSect="00D24877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CAE61" w14:textId="77777777" w:rsidR="00F473B5" w:rsidRDefault="00F473B5" w:rsidP="00E26A13">
      <w:r>
        <w:separator/>
      </w:r>
    </w:p>
  </w:endnote>
  <w:endnote w:type="continuationSeparator" w:id="0">
    <w:p w14:paraId="42335986" w14:textId="77777777" w:rsidR="00F473B5" w:rsidRDefault="00F473B5" w:rsidP="00E2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8B05D" w14:textId="77777777" w:rsidR="00F473B5" w:rsidRDefault="00F473B5" w:rsidP="00E26A13">
      <w:r>
        <w:separator/>
      </w:r>
    </w:p>
  </w:footnote>
  <w:footnote w:type="continuationSeparator" w:id="0">
    <w:p w14:paraId="0F2074E7" w14:textId="77777777" w:rsidR="00F473B5" w:rsidRDefault="00F473B5" w:rsidP="00E2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6DD5" w14:textId="4542030D" w:rsidR="00E26A13" w:rsidRDefault="002D7D39" w:rsidP="009C4104">
    <w:pPr>
      <w:pStyle w:val="Intestazione"/>
      <w:ind w:hanging="993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DC3B84D" wp14:editId="107BF10D">
          <wp:simplePos x="0" y="0"/>
          <wp:positionH relativeFrom="column">
            <wp:posOffset>-635</wp:posOffset>
          </wp:positionH>
          <wp:positionV relativeFrom="paragraph">
            <wp:posOffset>187325</wp:posOffset>
          </wp:positionV>
          <wp:extent cx="2128520" cy="314325"/>
          <wp:effectExtent l="0" t="0" r="5080" b="3175"/>
          <wp:wrapTopAndBottom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13"/>
    <w:rsid w:val="00024F89"/>
    <w:rsid w:val="000535BE"/>
    <w:rsid w:val="00086C10"/>
    <w:rsid w:val="000A3C27"/>
    <w:rsid w:val="000C2E4B"/>
    <w:rsid w:val="000E40A0"/>
    <w:rsid w:val="001947E6"/>
    <w:rsid w:val="002033FC"/>
    <w:rsid w:val="00262383"/>
    <w:rsid w:val="00263E9A"/>
    <w:rsid w:val="00291794"/>
    <w:rsid w:val="002D7D39"/>
    <w:rsid w:val="002F6BEF"/>
    <w:rsid w:val="00307CA2"/>
    <w:rsid w:val="00365505"/>
    <w:rsid w:val="003854FB"/>
    <w:rsid w:val="004313DE"/>
    <w:rsid w:val="0057540E"/>
    <w:rsid w:val="005D21BA"/>
    <w:rsid w:val="007B3A31"/>
    <w:rsid w:val="007D7621"/>
    <w:rsid w:val="00830C07"/>
    <w:rsid w:val="008412FE"/>
    <w:rsid w:val="0087767E"/>
    <w:rsid w:val="0090229C"/>
    <w:rsid w:val="00984343"/>
    <w:rsid w:val="009C4104"/>
    <w:rsid w:val="00C674B4"/>
    <w:rsid w:val="00C922C4"/>
    <w:rsid w:val="00CC5FBC"/>
    <w:rsid w:val="00D24877"/>
    <w:rsid w:val="00D71DE4"/>
    <w:rsid w:val="00DC0B60"/>
    <w:rsid w:val="00E15EB6"/>
    <w:rsid w:val="00E26A13"/>
    <w:rsid w:val="00F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5AE9"/>
  <w15:chartTrackingRefBased/>
  <w15:docId w15:val="{10134262-4FB9-8246-8B13-59D6FA33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D21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6A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A13"/>
  </w:style>
  <w:style w:type="paragraph" w:styleId="Pidipagina">
    <w:name w:val="footer"/>
    <w:basedOn w:val="Normale"/>
    <w:link w:val="PidipaginaCarattere"/>
    <w:uiPriority w:val="99"/>
    <w:unhideWhenUsed/>
    <w:rsid w:val="00E26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A13"/>
  </w:style>
  <w:style w:type="character" w:styleId="Enfasicorsivo">
    <w:name w:val="Emphasis"/>
    <w:basedOn w:val="Carpredefinitoparagrafo"/>
    <w:uiPriority w:val="20"/>
    <w:qFormat/>
    <w:rsid w:val="00C922C4"/>
    <w:rPr>
      <w:i/>
      <w:iCs/>
    </w:rPr>
  </w:style>
  <w:style w:type="paragraph" w:customStyle="1" w:styleId="Default">
    <w:name w:val="Default"/>
    <w:rsid w:val="00984343"/>
    <w:pPr>
      <w:autoSpaceDE w:val="0"/>
      <w:autoSpaceDN w:val="0"/>
      <w:adjustRightInd w:val="0"/>
    </w:pPr>
    <w:rPr>
      <w:rFonts w:ascii="Candara" w:hAnsi="Candara" w:cs="Candara"/>
      <w:color w:val="000000"/>
    </w:rPr>
  </w:style>
  <w:style w:type="paragraph" w:styleId="NormaleWeb">
    <w:name w:val="Normal (Web)"/>
    <w:basedOn w:val="Normale"/>
    <w:uiPriority w:val="99"/>
    <w:unhideWhenUsed/>
    <w:rsid w:val="009843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84343"/>
    <w:rPr>
      <w:b/>
      <w:bCs/>
    </w:rPr>
  </w:style>
  <w:style w:type="character" w:customStyle="1" w:styleId="apple-converted-space">
    <w:name w:val="apple-converted-space"/>
    <w:basedOn w:val="Carpredefinitoparagrafo"/>
    <w:rsid w:val="00984343"/>
  </w:style>
  <w:style w:type="character" w:styleId="Collegamentoipertestuale">
    <w:name w:val="Hyperlink"/>
    <w:basedOn w:val="Carpredefinitoparagrafo"/>
    <w:uiPriority w:val="99"/>
    <w:semiHidden/>
    <w:unhideWhenUsed/>
    <w:rsid w:val="00307CA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21B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pp-paragrafo-western">
    <w:name w:val="pp-paragrafo-western"/>
    <w:basedOn w:val="Normale"/>
    <w:rsid w:val="005D21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1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5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2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trofrancoparenti.it/convenzion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trofrancoparenti.it/convenzion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dcterms:created xsi:type="dcterms:W3CDTF">2021-05-14T13:24:00Z</dcterms:created>
  <dcterms:modified xsi:type="dcterms:W3CDTF">2021-05-14T13:24:00Z</dcterms:modified>
</cp:coreProperties>
</file>