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2E" w:rsidRDefault="0042682E">
      <w:pPr>
        <w:pStyle w:val="Nessunaspaziatura"/>
      </w:pPr>
    </w:p>
    <w:p w:rsidR="0042682E" w:rsidRDefault="004C2F84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42682E" w:rsidRDefault="004C2F84">
      <w:pPr>
        <w:spacing w:line="270" w:lineRule="atLeast"/>
        <w:textAlignment w:val="baseline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Sala AcomeA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</w:t>
      </w:r>
    </w:p>
    <w:p w:rsidR="004C2F84" w:rsidRPr="004C2F84" w:rsidRDefault="004C2F84" w:rsidP="004C2F84">
      <w:pPr>
        <w:spacing w:line="240" w:lineRule="auto"/>
        <w:textAlignment w:val="baseline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b/>
          <w:bCs/>
          <w:sz w:val="24"/>
          <w:szCs w:val="24"/>
        </w:rPr>
        <w:t>Dal 2 al 12 maggio 2019</w:t>
      </w:r>
      <w:r>
        <w:rPr>
          <w:rFonts w:ascii="Franklin Gothic Book" w:hAnsi="Franklin Gothic Book"/>
          <w:b/>
          <w:bCs/>
          <w:sz w:val="24"/>
          <w:szCs w:val="24"/>
        </w:rPr>
        <w:br/>
      </w:r>
      <w:r>
        <w:rPr>
          <w:rFonts w:ascii="Franklin Gothic Book" w:hAnsi="Franklin Gothic Book"/>
          <w:b/>
          <w:bCs/>
          <w:sz w:val="24"/>
          <w:szCs w:val="24"/>
        </w:rPr>
        <w:br/>
        <w:t>LA PUREZZA E IL COMPROMESSO</w:t>
      </w:r>
      <w:r>
        <w:rPr>
          <w:rFonts w:ascii="Franklin Gothic Book" w:hAnsi="Franklin Gothic Book"/>
          <w:b/>
          <w:bCs/>
          <w:sz w:val="24"/>
          <w:szCs w:val="24"/>
        </w:rPr>
        <w:br/>
      </w:r>
      <w:r>
        <w:rPr>
          <w:rFonts w:ascii="Franklin Gothic Book" w:hAnsi="Franklin Gothic Book"/>
          <w:b/>
          <w:bCs/>
          <w:sz w:val="24"/>
          <w:szCs w:val="24"/>
        </w:rPr>
        <w:br/>
      </w:r>
      <w:r w:rsidRPr="004C2F84">
        <w:rPr>
          <w:rFonts w:ascii="Franklin Gothic Book" w:hAnsi="Franklin Gothic Book"/>
          <w:color w:val="000000"/>
        </w:rPr>
        <w:t>scrittura scenica e regia </w:t>
      </w:r>
      <w:r w:rsidRPr="004C2F84">
        <w:rPr>
          <w:rFonts w:ascii="Franklin Gothic Book" w:hAnsi="Franklin Gothic Book"/>
          <w:b/>
          <w:color w:val="000000"/>
        </w:rPr>
        <w:t>Paolo Trotti</w:t>
      </w:r>
      <w:r w:rsidRPr="004C2F84">
        <w:rPr>
          <w:rFonts w:ascii="Franklin Gothic Book" w:hAnsi="Franklin Gothic Book"/>
          <w:color w:val="000000"/>
        </w:rPr>
        <w:br/>
        <w:t>con </w:t>
      </w:r>
      <w:r w:rsidRPr="004C2F84">
        <w:rPr>
          <w:rFonts w:ascii="Franklin Gothic Book" w:hAnsi="Franklin Gothic Book"/>
          <w:b/>
          <w:color w:val="000000"/>
        </w:rPr>
        <w:t>Stefano Annoni, Diego Paul Galtieri, Margherita Varricchio e Michele Constabile</w:t>
      </w:r>
      <w:r w:rsidRPr="004C2F84">
        <w:rPr>
          <w:rFonts w:ascii="Franklin Gothic Book" w:hAnsi="Franklin Gothic Book"/>
          <w:color w:val="000000"/>
        </w:rPr>
        <w:br/>
        <w:t>aiuto regia Fiammetta Perugi</w:t>
      </w:r>
      <w:r w:rsidRPr="004C2F84">
        <w:rPr>
          <w:rFonts w:ascii="Franklin Gothic Book" w:hAnsi="Franklin Gothic Book"/>
          <w:color w:val="000000"/>
        </w:rPr>
        <w:br/>
        <w:t>scene e costumi Francesca Biffi</w:t>
      </w:r>
      <w:r w:rsidRPr="004C2F84">
        <w:rPr>
          <w:rFonts w:ascii="Franklin Gothic Book" w:hAnsi="Franklin Gothic Book"/>
          <w:color w:val="000000"/>
        </w:rPr>
        <w:br/>
        <w:t>luci Gabriele Santi</w:t>
      </w:r>
      <w:r w:rsidRPr="004C2F84">
        <w:rPr>
          <w:rFonts w:ascii="Franklin Gothic Book" w:hAnsi="Franklin Gothic Book"/>
          <w:color w:val="000000"/>
        </w:rPr>
        <w:br/>
        <w:t>responsabile di produzione Simona Migliori</w:t>
      </w:r>
      <w:r w:rsidRPr="004C2F84">
        <w:rPr>
          <w:rFonts w:ascii="Franklin Gothic Book" w:hAnsi="Franklin Gothic Book"/>
          <w:color w:val="000000"/>
        </w:rPr>
        <w:br/>
        <w:t>produzione Teatro Linguaggicreativi</w:t>
      </w:r>
      <w:r w:rsidRPr="004C2F84">
        <w:rPr>
          <w:rFonts w:ascii="Franklin Gothic Book" w:hAnsi="Franklin Gothic Book"/>
          <w:color w:val="000000"/>
        </w:rPr>
        <w:br/>
        <w:t>con il sostegno del Centro Residenza della Toscana (Armunia Castiglionecello – CapoTrave/Kilowatt Sansepolcro)</w:t>
      </w:r>
    </w:p>
    <w:p w:rsidR="0042682E" w:rsidRPr="004C2F84" w:rsidRDefault="004C2F84" w:rsidP="004C2F84">
      <w:pPr>
        <w:spacing w:line="240" w:lineRule="auto"/>
        <w:textAlignment w:val="baseline"/>
      </w:pPr>
      <w:r w:rsidRPr="004C2F84">
        <w:rPr>
          <w:rFonts w:ascii="Franklin Gothic Book" w:hAnsi="Franklin Gothic Book"/>
          <w:bCs/>
          <w:i/>
          <w:iCs/>
          <w:color w:val="000000"/>
        </w:rPr>
        <w:t>Durata: 1 ora e 20 minuti circa</w:t>
      </w:r>
    </w:p>
    <w:p w:rsidR="0042682E" w:rsidRPr="004C2F84" w:rsidRDefault="004C2F84" w:rsidP="004C2F84">
      <w:pPr>
        <w:pStyle w:val="Corpodeltesto"/>
        <w:widowControl/>
        <w:spacing w:after="120"/>
      </w:pPr>
      <w:r w:rsidRPr="004C2F84">
        <w:rPr>
          <w:rFonts w:ascii="Franklin Gothic Book" w:hAnsi="Franklin Gothic Book"/>
          <w:i w:val="0"/>
          <w:color w:val="000000"/>
        </w:rPr>
        <w:t xml:space="preserve">L’universo di Testori incontra l’immaginario cinematografico di Luchino Visconti e diventa ispirazione per una storia nuova nella Milano dei nostri giorni, una metropoli in cui si muovono gli stessi personaggi delineati dallo scrittore ne </w:t>
      </w:r>
      <w:r w:rsidRPr="004C2F84">
        <w:rPr>
          <w:rStyle w:val="Enfasi"/>
          <w:rFonts w:ascii="Franklin Gothic Book" w:hAnsi="Franklin Gothic Book"/>
          <w:i/>
          <w:iCs/>
          <w:color w:val="000000"/>
        </w:rPr>
        <w:t>I racconti del P</w:t>
      </w:r>
      <w:r w:rsidRPr="004C2F84">
        <w:rPr>
          <w:rStyle w:val="Enfasi"/>
          <w:rFonts w:ascii="Franklin Gothic Book" w:hAnsi="Franklin Gothic Book"/>
          <w:i/>
          <w:iCs/>
          <w:color w:val="000000"/>
        </w:rPr>
        <w:t>onte della Ghisolfa.</w:t>
      </w:r>
      <w:r w:rsidRPr="004C2F84">
        <w:rPr>
          <w:rStyle w:val="Enfasi"/>
          <w:rFonts w:ascii="Franklin Gothic Book" w:hAnsi="Franklin Gothic Book"/>
          <w:i/>
          <w:iCs/>
          <w:color w:val="000000"/>
        </w:rPr>
        <w:br/>
      </w:r>
      <w:r w:rsidRPr="004C2F84">
        <w:rPr>
          <w:rFonts w:ascii="Franklin Gothic Book" w:hAnsi="Franklin Gothic Book"/>
          <w:i w:val="0"/>
          <w:color w:val="000000"/>
        </w:rPr>
        <w:t>Uomini e donne, disperati, semplici, immigrati, prostitute, omosessuali, sportivi, che cercano una via d’uscita in grado di cambiare la loro vita. I cinque attori danno vita a personaggi che vivono ai margini della città: operai, gli i</w:t>
      </w:r>
      <w:r w:rsidRPr="004C2F84">
        <w:rPr>
          <w:rFonts w:ascii="Franklin Gothic Book" w:hAnsi="Franklin Gothic Book"/>
          <w:i w:val="0"/>
          <w:color w:val="000000"/>
        </w:rPr>
        <w:t xml:space="preserve">nquilini dell’edilizia popolare, i migranti arrivati nella grande città alla ricerca di un lavoro. </w:t>
      </w:r>
      <w:r w:rsidRPr="004C2F84">
        <w:rPr>
          <w:rFonts w:ascii="Franklin Gothic Book" w:hAnsi="Franklin Gothic Book"/>
          <w:i w:val="0"/>
          <w:color w:val="000000"/>
        </w:rPr>
        <w:t xml:space="preserve">La speranza di arricchirsi attraverso la boxe, lo scontro tra fratelli a causa di una donna (ispirato a </w:t>
      </w:r>
      <w:r w:rsidRPr="004C2F84">
        <w:rPr>
          <w:rStyle w:val="Enfasi"/>
          <w:rFonts w:ascii="Franklin Gothic Book" w:hAnsi="Franklin Gothic Book"/>
          <w:i/>
          <w:iCs/>
          <w:color w:val="000000"/>
        </w:rPr>
        <w:t>Rocco e i suoi fratelli</w:t>
      </w:r>
      <w:r w:rsidRPr="004C2F84">
        <w:rPr>
          <w:rFonts w:ascii="Franklin Gothic Book" w:hAnsi="Franklin Gothic Book"/>
          <w:i w:val="0"/>
          <w:color w:val="000000"/>
        </w:rPr>
        <w:t>) sono qui raccontati con disi</w:t>
      </w:r>
      <w:r w:rsidRPr="004C2F84">
        <w:rPr>
          <w:rFonts w:ascii="Franklin Gothic Book" w:hAnsi="Franklin Gothic Book"/>
          <w:i w:val="0"/>
          <w:color w:val="000000"/>
        </w:rPr>
        <w:t xml:space="preserve">ncanto in un dramma che, ancora ai nostri giorni, risulta intenso, in cui passioni antiche e problemi moderni sono condotti a unità. </w:t>
      </w:r>
      <w:r w:rsidRPr="004C2F84">
        <w:rPr>
          <w:rFonts w:ascii="Franklin Gothic Book" w:hAnsi="Franklin Gothic Book"/>
          <w:i w:val="0"/>
          <w:color w:val="000000"/>
        </w:rPr>
        <w:t xml:space="preserve">Dopo </w:t>
      </w:r>
      <w:r w:rsidRPr="004C2F84">
        <w:rPr>
          <w:rFonts w:ascii="Franklin Gothic Book" w:hAnsi="Franklin Gothic Book"/>
          <w:color w:val="000000"/>
        </w:rPr>
        <w:t xml:space="preserve">La nebbiosa </w:t>
      </w:r>
      <w:r w:rsidRPr="004C2F84">
        <w:rPr>
          <w:rFonts w:ascii="Franklin Gothic Book" w:hAnsi="Franklin Gothic Book"/>
          <w:i w:val="0"/>
          <w:iCs w:val="0"/>
          <w:color w:val="000000"/>
        </w:rPr>
        <w:t>di</w:t>
      </w:r>
      <w:r w:rsidRPr="004C2F84">
        <w:rPr>
          <w:rFonts w:ascii="Franklin Gothic Book" w:hAnsi="Franklin Gothic Book"/>
          <w:i w:val="0"/>
          <w:color w:val="000000"/>
        </w:rPr>
        <w:t xml:space="preserve"> Pasolini e </w:t>
      </w:r>
      <w:r w:rsidRPr="004C2F84">
        <w:rPr>
          <w:rFonts w:ascii="Franklin Gothic Book" w:hAnsi="Franklin Gothic Book"/>
          <w:color w:val="000000"/>
        </w:rPr>
        <w:t xml:space="preserve">I Ragazzi del massacro </w:t>
      </w:r>
      <w:r w:rsidRPr="004C2F84">
        <w:rPr>
          <w:rFonts w:ascii="Franklin Gothic Book" w:hAnsi="Franklin Gothic Book"/>
          <w:i w:val="0"/>
          <w:color w:val="000000"/>
        </w:rPr>
        <w:t xml:space="preserve">di Scerbanenco, con </w:t>
      </w:r>
      <w:r w:rsidRPr="004C2F84">
        <w:rPr>
          <w:rFonts w:ascii="Franklin Gothic Book" w:hAnsi="Franklin Gothic Book"/>
          <w:color w:val="000000"/>
        </w:rPr>
        <w:t>La purezza e il compromesso</w:t>
      </w:r>
      <w:r w:rsidRPr="004C2F84">
        <w:rPr>
          <w:rFonts w:ascii="Franklin Gothic Book" w:hAnsi="Franklin Gothic Book"/>
          <w:i w:val="0"/>
          <w:color w:val="000000"/>
        </w:rPr>
        <w:t>, Paolo Trotti prosegu</w:t>
      </w:r>
      <w:r w:rsidRPr="004C2F84">
        <w:rPr>
          <w:rFonts w:ascii="Franklin Gothic Book" w:hAnsi="Franklin Gothic Book"/>
          <w:i w:val="0"/>
          <w:color w:val="000000"/>
        </w:rPr>
        <w:t>e il viaggio attraverso gli autori che hanno raccontato la città ed i suoi mutamenti.</w:t>
      </w:r>
    </w:p>
    <w:p w:rsidR="0042682E" w:rsidRDefault="004C2F84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</w:rPr>
        <w:t>martedì h 20:30</w:t>
      </w:r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</w:rPr>
        <w:t xml:space="preserve">mercoledì h 19:15 </w:t>
      </w:r>
      <w:r>
        <w:rPr>
          <w:rFonts w:ascii="Franklin Gothic Book" w:hAnsi="Franklin Gothic Book"/>
          <w:color w:val="1A1A1A"/>
        </w:rPr>
        <w:t xml:space="preserve">giovedì h 20:00 </w:t>
      </w:r>
      <w:r>
        <w:rPr>
          <w:rFonts w:ascii="Franklin Gothic Book" w:hAnsi="Franklin Gothic Book"/>
          <w:color w:val="1A1A1A"/>
        </w:rPr>
        <w:t>venerdì h 20:30 sabato h 21:00 domenica h 15:45</w:t>
      </w:r>
    </w:p>
    <w:p w:rsidR="004C2F84" w:rsidRDefault="004C2F84">
      <w:pPr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  <w:sectPr w:rsidR="004C2F84" w:rsidSect="0042682E">
          <w:headerReference w:type="default" r:id="rId6"/>
          <w:footerReference w:type="default" r:id="rId7"/>
          <w:pgSz w:w="11906" w:h="16838"/>
          <w:pgMar w:top="1417" w:right="1134" w:bottom="1134" w:left="1134" w:header="708" w:footer="708" w:gutter="0"/>
          <w:cols w:space="720"/>
          <w:formProt w:val="0"/>
          <w:docGrid w:linePitch="360" w:charSpace="4096"/>
        </w:sectPr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</w:rPr>
        <w:t>Platea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color w:val="000000"/>
        </w:rPr>
        <w:t>Intero &gt; 23,50€ + prev.</w:t>
      </w:r>
      <w:r>
        <w:rPr>
          <w:rFonts w:ascii="Franklin Gothic Book" w:hAnsi="Franklin Gothic Book"/>
          <w:color w:val="000000"/>
        </w:rPr>
        <w:br/>
        <w:t xml:space="preserve">Ridotto Over65/under26 &gt; </w:t>
      </w:r>
      <w:r>
        <w:rPr>
          <w:rFonts w:ascii="Franklin Gothic Book" w:hAnsi="Franklin Gothic Book"/>
          <w:color w:val="000000"/>
        </w:rPr>
        <w:t>15€ + prev.</w:t>
      </w:r>
      <w:r>
        <w:rPr>
          <w:rFonts w:ascii="Franklin Gothic Book" w:hAnsi="Franklin Gothic Book"/>
          <w:color w:val="000000"/>
        </w:rPr>
        <w:br/>
        <w:t>Convenzioni* &gt; 18€ + prev.</w:t>
      </w:r>
      <w:r>
        <w:rPr>
          <w:rFonts w:ascii="Franklin Gothic Book" w:hAnsi="Franklin Gothic Book"/>
          <w:color w:val="000000"/>
        </w:rPr>
        <w:br/>
      </w:r>
      <w:r>
        <w:rPr>
          <w:rStyle w:val="Enfasiforte"/>
          <w:rFonts w:ascii="Franklin Gothic Book" w:hAnsi="Franklin Gothic Book"/>
          <w:color w:val="000000"/>
        </w:rPr>
        <w:t>Galleria</w:t>
      </w:r>
      <w:r>
        <w:rPr>
          <w:rFonts w:ascii="Franklin Gothic Book" w:hAnsi="Franklin Gothic Book"/>
          <w:color w:val="000000"/>
        </w:rPr>
        <w:br/>
        <w:t>Intero &gt; 18€</w:t>
      </w:r>
      <w:r>
        <w:rPr>
          <w:rFonts w:ascii="Franklin Gothic Book" w:hAnsi="Franklin Gothic Book"/>
          <w:color w:val="000000"/>
        </w:rPr>
        <w:br/>
        <w:t>Ridotto Over65/under26 &gt; 15€ + prev.</w:t>
      </w:r>
      <w:r>
        <w:rPr>
          <w:rFonts w:ascii="Franklin Gothic Book" w:hAnsi="Franklin Gothic Book"/>
          <w:color w:val="000000"/>
        </w:rPr>
        <w:br/>
        <w:t>* le convenzioni sono valide per platea e galleria, e per tutti i giorni, esclusi venerdì e sabato.</w:t>
      </w:r>
      <w:r>
        <w:rPr>
          <w:rFonts w:ascii="Franklin Gothic Book" w:hAnsi="Franklin Gothic Book"/>
          <w:color w:val="000000"/>
        </w:rPr>
        <w:br/>
      </w:r>
      <w:r>
        <w:rPr>
          <w:rFonts w:ascii="Franklin Gothic Book" w:hAnsi="Franklin Gothic Book"/>
          <w:b/>
          <w:sz w:val="20"/>
          <w:szCs w:val="20"/>
        </w:rPr>
        <w:br/>
      </w:r>
    </w:p>
    <w:p w:rsidR="0042682E" w:rsidRPr="004C2F84" w:rsidRDefault="004C2F84">
      <w:pPr>
        <w:spacing w:line="270" w:lineRule="atLeast"/>
        <w:textAlignment w:val="baseline"/>
        <w:rPr>
          <w:rFonts w:ascii="Franklin Gothic Book" w:hAnsi="Franklin Gothic Book"/>
          <w:sz w:val="20"/>
          <w:szCs w:val="20"/>
        </w:rPr>
      </w:pPr>
      <w:r w:rsidRPr="004C2F84">
        <w:rPr>
          <w:rFonts w:ascii="Franklin Gothic Book" w:hAnsi="Franklin Gothic Book"/>
          <w:b/>
          <w:sz w:val="20"/>
          <w:szCs w:val="20"/>
        </w:rPr>
        <w:lastRenderedPageBreak/>
        <w:t>Informazioni</w:t>
      </w:r>
      <w:r w:rsidRPr="004C2F84">
        <w:rPr>
          <w:rFonts w:ascii="Franklin Gothic Book" w:hAnsi="Franklin Gothic Book"/>
          <w:b/>
          <w:sz w:val="20"/>
          <w:szCs w:val="20"/>
        </w:rPr>
        <w:br/>
      </w:r>
      <w:r w:rsidRPr="004C2F84">
        <w:rPr>
          <w:rFonts w:ascii="Franklin Gothic Book" w:hAnsi="Franklin Gothic Book"/>
          <w:sz w:val="20"/>
          <w:szCs w:val="20"/>
        </w:rPr>
        <w:t>Biglietteria</w:t>
      </w:r>
      <w:r w:rsidRPr="004C2F84">
        <w:rPr>
          <w:rFonts w:ascii="Franklin Gothic Book" w:hAnsi="Franklin Gothic Book"/>
          <w:b/>
          <w:sz w:val="20"/>
          <w:szCs w:val="20"/>
        </w:rPr>
        <w:br/>
      </w:r>
      <w:r w:rsidRPr="004C2F84">
        <w:rPr>
          <w:rFonts w:ascii="Franklin Gothic Book" w:hAnsi="Franklin Gothic Book"/>
          <w:sz w:val="20"/>
          <w:szCs w:val="20"/>
        </w:rPr>
        <w:t>tel. 0259995206</w:t>
      </w:r>
      <w:r w:rsidRPr="004C2F84">
        <w:rPr>
          <w:rFonts w:ascii="Franklin Gothic Book" w:hAnsi="Franklin Gothic Book"/>
          <w:b/>
          <w:sz w:val="20"/>
          <w:szCs w:val="20"/>
        </w:rPr>
        <w:br/>
      </w:r>
      <w:hyperlink r:id="rId8">
        <w:r w:rsidRPr="004C2F84"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 w:rsidRPr="004C2F84">
        <w:rPr>
          <w:rFonts w:ascii="Franklin Gothic Book" w:hAnsi="Franklin Gothic Book"/>
          <w:sz w:val="20"/>
          <w:szCs w:val="20"/>
        </w:rPr>
        <w:t xml:space="preserve"> </w:t>
      </w:r>
    </w:p>
    <w:p w:rsidR="0042682E" w:rsidRPr="004C2F84" w:rsidRDefault="0042682E">
      <w:pPr>
        <w:spacing w:line="240" w:lineRule="auto"/>
        <w:rPr>
          <w:rFonts w:ascii="Franklin Gothic Book" w:hAnsi="Franklin Gothic Book"/>
          <w:sz w:val="20"/>
          <w:szCs w:val="20"/>
        </w:rPr>
      </w:pPr>
      <w:hyperlink r:id="rId9">
        <w:r w:rsidR="004C2F84" w:rsidRPr="004C2F84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4C2F84" w:rsidRPr="004C2F84">
        <w:rPr>
          <w:rFonts w:ascii="Franklin Gothic Book" w:hAnsi="Franklin Gothic Book"/>
          <w:sz w:val="20"/>
          <w:szCs w:val="20"/>
        </w:rPr>
        <w:t xml:space="preserve"> </w:t>
      </w:r>
      <w:r w:rsidR="004C2F84" w:rsidRPr="004C2F84">
        <w:rPr>
          <w:rFonts w:ascii="Franklin Gothic Book" w:hAnsi="Franklin Gothic Book"/>
          <w:sz w:val="20"/>
          <w:szCs w:val="20"/>
        </w:rPr>
        <w:br/>
      </w:r>
      <w:hyperlink r:id="rId10">
        <w:r w:rsidR="004C2F84" w:rsidRPr="004C2F84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4C2F84" w:rsidRPr="004C2F84">
        <w:rPr>
          <w:rFonts w:ascii="Franklin Gothic Book" w:hAnsi="Franklin Gothic Book"/>
          <w:sz w:val="20"/>
          <w:szCs w:val="20"/>
        </w:rPr>
        <w:t xml:space="preserve"> </w:t>
      </w:r>
      <w:r w:rsidR="004C2F84" w:rsidRPr="004C2F84">
        <w:rPr>
          <w:rFonts w:ascii="Franklin Gothic Book" w:hAnsi="Franklin Gothic Book"/>
          <w:sz w:val="20"/>
          <w:szCs w:val="20"/>
        </w:rPr>
        <w:br/>
      </w:r>
      <w:r w:rsidR="004C2F84" w:rsidRPr="004C2F84">
        <w:rPr>
          <w:rFonts w:ascii="Franklin Gothic Book" w:hAnsi="Franklin Gothic Book"/>
          <w:b/>
          <w:sz w:val="20"/>
          <w:szCs w:val="20"/>
        </w:rPr>
        <w:t>App</w:t>
      </w:r>
      <w:r w:rsidR="004C2F84" w:rsidRPr="004C2F84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42682E" w:rsidRPr="004C2F84" w:rsidRDefault="004C2F84">
      <w:pPr>
        <w:pStyle w:val="Footer"/>
        <w:rPr>
          <w:rFonts w:ascii="Franklin Gothic Book" w:hAnsi="Franklin Gothic Book"/>
          <w:sz w:val="20"/>
          <w:szCs w:val="20"/>
        </w:rPr>
      </w:pPr>
      <w:r w:rsidRPr="004C2F84">
        <w:rPr>
          <w:rFonts w:ascii="Franklin Gothic Book" w:hAnsi="Franklin Gothic Book" w:cs="Franklin Gothic Book"/>
          <w:b/>
          <w:sz w:val="20"/>
          <w:szCs w:val="20"/>
        </w:rPr>
        <w:lastRenderedPageBreak/>
        <w:t>Ufficio Stampa Teatro Franco Parenti</w:t>
      </w:r>
      <w:r w:rsidRPr="004C2F84">
        <w:rPr>
          <w:rFonts w:ascii="Franklin Gothic Book" w:hAnsi="Franklin Gothic Book" w:cs="Franklin Gothic Book"/>
          <w:b/>
          <w:sz w:val="20"/>
          <w:szCs w:val="20"/>
        </w:rPr>
        <w:br/>
      </w:r>
      <w:r w:rsidRPr="004C2F84"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 w:rsidRPr="004C2F84">
        <w:rPr>
          <w:rFonts w:ascii="Franklin Gothic Book" w:hAnsi="Franklin Gothic Book" w:cs="Franklin Gothic Book"/>
          <w:b/>
          <w:sz w:val="20"/>
          <w:szCs w:val="20"/>
        </w:rPr>
        <w:br/>
      </w:r>
      <w:r w:rsidRPr="004C2F84">
        <w:rPr>
          <w:rFonts w:ascii="Franklin Gothic Book" w:hAnsi="Franklin Gothic Book" w:cs="Franklin Gothic Book"/>
          <w:sz w:val="20"/>
          <w:szCs w:val="20"/>
        </w:rPr>
        <w:t>Tel. 02 59995219/217</w:t>
      </w:r>
      <w:r w:rsidRPr="004C2F84">
        <w:rPr>
          <w:rFonts w:ascii="Franklin Gothic Book" w:hAnsi="Franklin Gothic Book" w:cs="Franklin Gothic Book"/>
          <w:sz w:val="20"/>
          <w:szCs w:val="20"/>
        </w:rPr>
        <w:br/>
      </w:r>
      <w:r w:rsidRPr="004C2F84">
        <w:rPr>
          <w:rFonts w:ascii="Franklin Gothic Book" w:hAnsi="Franklin Gothic Book"/>
          <w:sz w:val="20"/>
          <w:szCs w:val="20"/>
        </w:rPr>
        <w:t xml:space="preserve">Mail </w:t>
      </w:r>
      <w:hyperlink r:id="rId11">
        <w:r w:rsidRPr="004C2F84"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42682E" w:rsidRPr="004C2F84" w:rsidRDefault="004C2F84">
      <w:pPr>
        <w:pStyle w:val="Corpodeltesto"/>
        <w:rPr>
          <w:rFonts w:ascii="Franklin Gothic Book" w:hAnsi="Franklin Gothic Book"/>
          <w:sz w:val="20"/>
          <w:szCs w:val="20"/>
        </w:rPr>
      </w:pPr>
      <w:r w:rsidRPr="004C2F84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2">
        <w:r w:rsidRPr="004C2F84"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42682E" w:rsidRPr="004C2F84" w:rsidRDefault="0042682E">
      <w:pPr>
        <w:pStyle w:val="Corpodeltesto"/>
        <w:rPr>
          <w:rFonts w:ascii="Franklin Gothic Book" w:hAnsi="Franklin Gothic Book"/>
          <w:sz w:val="20"/>
          <w:szCs w:val="20"/>
        </w:rPr>
      </w:pPr>
    </w:p>
    <w:sectPr w:rsidR="0042682E" w:rsidRPr="004C2F84" w:rsidSect="004C2F84">
      <w:type w:val="continuous"/>
      <w:pgSz w:w="11906" w:h="16838"/>
      <w:pgMar w:top="1417" w:right="1134" w:bottom="1134" w:left="1134" w:header="708" w:footer="708" w:gutter="0"/>
      <w:cols w:num="2"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2E" w:rsidRDefault="0042682E" w:rsidP="0042682E">
      <w:pPr>
        <w:spacing w:after="0" w:line="240" w:lineRule="auto"/>
      </w:pPr>
      <w:r>
        <w:separator/>
      </w:r>
    </w:p>
  </w:endnote>
  <w:endnote w:type="continuationSeparator" w:id="0">
    <w:p w:rsidR="0042682E" w:rsidRDefault="0042682E" w:rsidP="0042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charset w:val="00"/>
    <w:family w:val="roman"/>
    <w:pitch w:val="variable"/>
    <w:sig w:usb0="00000000" w:usb1="00000000" w:usb2="00000000" w:usb3="00000000" w:csb0="00000000" w:csb1="00000000"/>
  </w:font>
  <w:font w:name="Palatino">
    <w:altName w:val="Book Antiqua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2E" w:rsidRDefault="00426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2E" w:rsidRDefault="0042682E" w:rsidP="0042682E">
      <w:pPr>
        <w:spacing w:after="0" w:line="240" w:lineRule="auto"/>
      </w:pPr>
      <w:r>
        <w:separator/>
      </w:r>
    </w:p>
  </w:footnote>
  <w:footnote w:type="continuationSeparator" w:id="0">
    <w:p w:rsidR="0042682E" w:rsidRDefault="0042682E" w:rsidP="0042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2E" w:rsidRDefault="004C2F84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82E" w:rsidRDefault="004268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82E"/>
    <w:rsid w:val="0042682E"/>
    <w:rsid w:val="004C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"/>
    <w:qFormat/>
    <w:rsid w:val="00C7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4268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42682E"/>
    <w:rPr>
      <w:rFonts w:cs="Arial"/>
    </w:rPr>
  </w:style>
  <w:style w:type="paragraph" w:customStyle="1" w:styleId="Caption">
    <w:name w:val="Caption"/>
    <w:basedOn w:val="Normale"/>
    <w:qFormat/>
    <w:rsid w:val="004268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2682E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press.teatrofrancoparent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fmalcangio@teatrofrancoparenti.i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ptix3.mioticket.it/TeatroParent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386</Words>
  <Characters>2205</Characters>
  <Application>Microsoft Office Word</Application>
  <DocSecurity>0</DocSecurity>
  <Lines>18</Lines>
  <Paragraphs>5</Paragraphs>
  <ScaleCrop>false</ScaleCrop>
  <Company>Hewlett-Packard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87</cp:revision>
  <cp:lastPrinted>2017-09-25T09:02:00Z</cp:lastPrinted>
  <dcterms:created xsi:type="dcterms:W3CDTF">2017-04-03T09:28:00Z</dcterms:created>
  <dcterms:modified xsi:type="dcterms:W3CDTF">2019-04-15T12:54:00Z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