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CD" w:rsidRDefault="00D81FCD">
      <w:pPr>
        <w:pStyle w:val="Corpodeltesto"/>
        <w:rPr>
          <w:rFonts w:ascii="Franklin Gothic Book" w:hAnsi="Franklin Gothic Book"/>
          <w:i w:val="0"/>
          <w:sz w:val="24"/>
          <w:szCs w:val="24"/>
        </w:rPr>
      </w:pPr>
    </w:p>
    <w:p w:rsidR="00D81FCD" w:rsidRDefault="00B50B31">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D81FCD" w:rsidRDefault="00B50B31">
      <w:pPr>
        <w:spacing w:line="270" w:lineRule="atLeast"/>
        <w:textAlignment w:val="baseline"/>
      </w:pPr>
      <w:r>
        <w:rPr>
          <w:rFonts w:ascii="Franklin Gothic Book" w:hAnsi="Franklin Gothic Book"/>
          <w:sz w:val="24"/>
          <w:szCs w:val="24"/>
        </w:rPr>
        <w:t>Sala AcomeA</w:t>
      </w:r>
      <w:r>
        <w:rPr>
          <w:rFonts w:ascii="Franklin Gothic Book" w:hAnsi="Franklin Gothic Book"/>
          <w:sz w:val="24"/>
          <w:szCs w:val="24"/>
        </w:rPr>
        <w:br/>
      </w:r>
      <w:r>
        <w:rPr>
          <w:rFonts w:ascii="Franklin Gothic Book" w:hAnsi="Franklin Gothic Book"/>
          <w:b/>
          <w:bCs/>
          <w:sz w:val="24"/>
          <w:szCs w:val="24"/>
        </w:rPr>
        <w:t>Dal 6 al 18 novembre 2018</w:t>
      </w:r>
    </w:p>
    <w:p w:rsidR="00D81FCD" w:rsidRDefault="00B50B31">
      <w:pPr>
        <w:spacing w:line="270" w:lineRule="atLeast"/>
        <w:textAlignment w:val="baseline"/>
        <w:rPr>
          <w:rFonts w:ascii="Franklin Gothic Book" w:hAnsi="Franklin Gothic Book"/>
          <w:b/>
          <w:bCs/>
          <w:sz w:val="24"/>
          <w:szCs w:val="24"/>
        </w:rPr>
      </w:pPr>
      <w:r>
        <w:rPr>
          <w:rFonts w:ascii="Franklin Gothic Book" w:hAnsi="Franklin Gothic Book"/>
          <w:b/>
          <w:bCs/>
          <w:sz w:val="24"/>
          <w:szCs w:val="24"/>
        </w:rPr>
        <w:t>IL CASO BRAIBANTI</w:t>
      </w:r>
    </w:p>
    <w:p w:rsidR="00D81FCD" w:rsidRDefault="00B50B31">
      <w:pPr>
        <w:spacing w:line="270" w:lineRule="atLeast"/>
        <w:textAlignment w:val="baseline"/>
      </w:pPr>
      <w:r>
        <w:rPr>
          <w:rFonts w:ascii="Franklin Gothic Book" w:hAnsi="Franklin Gothic Book"/>
          <w:bCs/>
          <w:sz w:val="24"/>
          <w:szCs w:val="24"/>
        </w:rPr>
        <w:t xml:space="preserve">di </w:t>
      </w:r>
      <w:r>
        <w:rPr>
          <w:rFonts w:ascii="Franklin Gothic Book" w:hAnsi="Franklin Gothic Book"/>
          <w:b/>
          <w:bCs/>
          <w:sz w:val="24"/>
          <w:szCs w:val="24"/>
        </w:rPr>
        <w:t>Massimiliano Palmese</w:t>
      </w:r>
      <w:r>
        <w:rPr>
          <w:rFonts w:ascii="Franklin Gothic Book" w:hAnsi="Franklin Gothic Book"/>
          <w:bCs/>
          <w:sz w:val="24"/>
          <w:szCs w:val="24"/>
        </w:rPr>
        <w:br/>
        <w:t xml:space="preserve">con </w:t>
      </w:r>
      <w:r>
        <w:rPr>
          <w:rFonts w:ascii="Franklin Gothic Book" w:hAnsi="Franklin Gothic Book"/>
          <w:b/>
          <w:bCs/>
          <w:sz w:val="24"/>
          <w:szCs w:val="24"/>
        </w:rPr>
        <w:t>Fabio Bussotti</w:t>
      </w:r>
      <w:r>
        <w:rPr>
          <w:rFonts w:ascii="Franklin Gothic Book" w:hAnsi="Franklin Gothic Book"/>
          <w:bCs/>
          <w:sz w:val="24"/>
          <w:szCs w:val="24"/>
        </w:rPr>
        <w:br/>
        <w:t xml:space="preserve">e </w:t>
      </w:r>
      <w:r>
        <w:rPr>
          <w:rFonts w:ascii="Franklin Gothic Book" w:hAnsi="Franklin Gothic Book"/>
          <w:b/>
          <w:bCs/>
          <w:sz w:val="24"/>
          <w:szCs w:val="24"/>
        </w:rPr>
        <w:t>Mauro Conte</w:t>
      </w:r>
      <w:r>
        <w:rPr>
          <w:rFonts w:ascii="Franklin Gothic Book" w:hAnsi="Franklin Gothic Book"/>
          <w:bCs/>
          <w:sz w:val="24"/>
          <w:szCs w:val="24"/>
        </w:rPr>
        <w:br/>
        <w:t xml:space="preserve">musiche composte ed eseguite dal vivo da </w:t>
      </w:r>
      <w:r>
        <w:rPr>
          <w:rFonts w:ascii="Franklin Gothic Book" w:hAnsi="Franklin Gothic Book"/>
          <w:b/>
          <w:bCs/>
          <w:sz w:val="24"/>
          <w:szCs w:val="24"/>
        </w:rPr>
        <w:t>Mauro Verrone</w:t>
      </w:r>
      <w:r>
        <w:rPr>
          <w:rFonts w:ascii="Franklin Gothic Book" w:hAnsi="Franklin Gothic Book"/>
          <w:b/>
          <w:bCs/>
          <w:sz w:val="24"/>
          <w:szCs w:val="24"/>
        </w:rPr>
        <w:br/>
      </w:r>
      <w:r>
        <w:rPr>
          <w:rFonts w:ascii="Franklin Gothic Book" w:hAnsi="Franklin Gothic Book"/>
          <w:bCs/>
          <w:sz w:val="24"/>
          <w:szCs w:val="24"/>
        </w:rPr>
        <w:t xml:space="preserve">uno spettacolo di </w:t>
      </w:r>
      <w:r>
        <w:rPr>
          <w:rFonts w:ascii="Franklin Gothic Book" w:hAnsi="Franklin Gothic Book"/>
          <w:b/>
          <w:bCs/>
          <w:sz w:val="24"/>
          <w:szCs w:val="24"/>
        </w:rPr>
        <w:t>Giuseppe Marini</w:t>
      </w:r>
      <w:r>
        <w:rPr>
          <w:rFonts w:ascii="Franklin Gothic Book" w:hAnsi="Franklin Gothic Book"/>
          <w:bCs/>
          <w:sz w:val="24"/>
          <w:szCs w:val="24"/>
        </w:rPr>
        <w:br/>
        <w:t xml:space="preserve">produzione </w:t>
      </w:r>
      <w:r>
        <w:rPr>
          <w:rFonts w:ascii="Franklin Gothic Book" w:hAnsi="Franklin Gothic Book"/>
          <w:b/>
          <w:bCs/>
          <w:sz w:val="24"/>
          <w:szCs w:val="24"/>
        </w:rPr>
        <w:t>Diaghilev</w:t>
      </w:r>
      <w:r>
        <w:rPr>
          <w:rFonts w:ascii="Franklin Gothic Book" w:hAnsi="Franklin Gothic Book"/>
          <w:bCs/>
          <w:sz w:val="24"/>
          <w:szCs w:val="24"/>
        </w:rPr>
        <w:br/>
      </w:r>
      <w:r>
        <w:rPr>
          <w:rFonts w:ascii="Franklin Gothic Book" w:hAnsi="Franklin Gothic Book"/>
          <w:bCs/>
          <w:i/>
          <w:iCs/>
          <w:sz w:val="24"/>
          <w:szCs w:val="24"/>
        </w:rPr>
        <w:br/>
      </w:r>
      <w:r w:rsidRPr="00B50B31">
        <w:rPr>
          <w:rFonts w:ascii="Franklin Gothic Book" w:hAnsi="Franklin Gothic Book"/>
          <w:bCs/>
          <w:i/>
          <w:iCs/>
          <w:sz w:val="24"/>
          <w:szCs w:val="24"/>
        </w:rPr>
        <w:t xml:space="preserve">Lo spettacolo è nato all’interno della rassegna del </w:t>
      </w:r>
      <w:r w:rsidRPr="00B50B31">
        <w:rPr>
          <w:rFonts w:ascii="Franklin Gothic Book" w:hAnsi="Franklin Gothic Book"/>
          <w:bCs/>
          <w:i/>
          <w:iCs/>
          <w:sz w:val="24"/>
          <w:szCs w:val="24"/>
        </w:rPr>
        <w:t>Garofano Verde</w:t>
      </w:r>
      <w:r w:rsidRPr="00B50B31">
        <w:rPr>
          <w:rFonts w:ascii="Franklin Gothic Book" w:hAnsi="Franklin Gothic Book"/>
          <w:bCs/>
          <w:i/>
          <w:iCs/>
          <w:sz w:val="24"/>
          <w:szCs w:val="24"/>
        </w:rPr>
        <w:t xml:space="preserve"> ideata e diretta da </w:t>
      </w:r>
      <w:r w:rsidRPr="00B50B31">
        <w:rPr>
          <w:rFonts w:ascii="Franklin Gothic Book" w:hAnsi="Franklin Gothic Book"/>
          <w:bCs/>
          <w:i/>
          <w:iCs/>
          <w:sz w:val="24"/>
          <w:szCs w:val="24"/>
        </w:rPr>
        <w:t>Rodolfo di Giammarco</w:t>
      </w:r>
      <w:r w:rsidRPr="00B50B31">
        <w:rPr>
          <w:rFonts w:ascii="Franklin Gothic Book" w:hAnsi="Franklin Gothic Book"/>
          <w:bCs/>
          <w:i/>
          <w:iCs/>
          <w:sz w:val="24"/>
          <w:szCs w:val="24"/>
        </w:rPr>
        <w:t xml:space="preserve">. Il testo dello spettacolo è pubblicato nella collana Teatri di Carta dell’editore </w:t>
      </w:r>
      <w:r w:rsidRPr="00B50B31">
        <w:rPr>
          <w:rFonts w:ascii="Franklin Gothic Book" w:hAnsi="Franklin Gothic Book"/>
          <w:bCs/>
          <w:i/>
          <w:iCs/>
          <w:sz w:val="24"/>
          <w:szCs w:val="24"/>
        </w:rPr>
        <w:t>Caracò</w:t>
      </w:r>
      <w:r w:rsidRPr="00B50B31">
        <w:rPr>
          <w:rFonts w:ascii="Franklin Gothic Book" w:hAnsi="Franklin Gothic Book"/>
          <w:bCs/>
          <w:i/>
          <w:iCs/>
          <w:sz w:val="24"/>
          <w:szCs w:val="24"/>
        </w:rPr>
        <w:t xml:space="preserve"> di Bologna</w:t>
      </w:r>
      <w:r>
        <w:rPr>
          <w:rFonts w:ascii="Franklin Gothic Book" w:hAnsi="Franklin Gothic Book"/>
          <w:bCs/>
          <w:iCs/>
          <w:sz w:val="24"/>
          <w:szCs w:val="24"/>
        </w:rPr>
        <w:t>.</w:t>
      </w:r>
    </w:p>
    <w:p w:rsidR="00D81FCD" w:rsidRDefault="00B50B31">
      <w:pPr>
        <w:spacing w:line="270" w:lineRule="atLeast"/>
        <w:textAlignment w:val="baseline"/>
      </w:pPr>
      <w:r>
        <w:rPr>
          <w:rFonts w:ascii="Franklin Gothic Book" w:hAnsi="Franklin Gothic Book"/>
          <w:bCs/>
          <w:sz w:val="24"/>
          <w:szCs w:val="24"/>
        </w:rPr>
        <w:t>Nel giugno 1968, mentre nel mondo infiammava l</w:t>
      </w:r>
      <w:r>
        <w:rPr>
          <w:rFonts w:ascii="Franklin Gothic Book" w:hAnsi="Franklin Gothic Book"/>
          <w:bCs/>
          <w:sz w:val="24"/>
          <w:szCs w:val="24"/>
        </w:rPr>
        <w:t>a Contestazione e giovani e intellettuali chiedevano più libertà e più diritti, in Italia si apriva il processo-farsa a Braibanti “per aver assoggettato fisicamente e psichicamente” il ventunenne Giovanni Sanfratello. In realtà il ragazzo, in fuga da una f</w:t>
      </w:r>
      <w:r>
        <w:rPr>
          <w:rFonts w:ascii="Franklin Gothic Book" w:hAnsi="Franklin Gothic Book"/>
          <w:bCs/>
          <w:sz w:val="24"/>
          <w:szCs w:val="24"/>
        </w:rPr>
        <w:t>amiglia autoritaria e bigotta, una volta raggiunta la maggiore età, aveva deciso di seguire le proprie inclinazioni ed era andato a vivere a Roma con Braibanti. Non accettando l’omosessualità del figlio, il padre affidò Giovanni agli psichiatri con la sper</w:t>
      </w:r>
      <w:r>
        <w:rPr>
          <w:rFonts w:ascii="Franklin Gothic Book" w:hAnsi="Franklin Gothic Book"/>
          <w:bCs/>
          <w:sz w:val="24"/>
          <w:szCs w:val="24"/>
        </w:rPr>
        <w:t>anza di guarirlo dalla “seduzione” che avrebbe subito, e denunciò Braibanti con l’accusa di plagio. Molti intellettuali denunciarono lo scandalo di un processo montato ad arte dalla destra più reazionaria del Paese in combutta con esponenti del clero e del</w:t>
      </w:r>
      <w:r>
        <w:rPr>
          <w:rFonts w:ascii="Franklin Gothic Book" w:hAnsi="Franklin Gothic Book"/>
          <w:bCs/>
          <w:sz w:val="24"/>
          <w:szCs w:val="24"/>
        </w:rPr>
        <w:t>la “psichiatria di regime”. In favore di Braibanti intervennero Pier Paolo Pasolini, Elsa Morante, Alberto Moravia, Umberto Eco, Marco Pannella, Cesare Musatti, Dacia Maraini. Tutti i loro appelli caddero nel vuoto. Il testo costruito da Massimiliano Palme</w:t>
      </w:r>
      <w:r>
        <w:rPr>
          <w:rFonts w:ascii="Franklin Gothic Book" w:hAnsi="Franklin Gothic Book"/>
          <w:bCs/>
          <w:sz w:val="24"/>
          <w:szCs w:val="24"/>
        </w:rPr>
        <w:t>se su documenti d’archivio, lettere e testimonianze, ricostruisce tutte le fasi del processo. Un “oratorio civile” scandito dalle incursioni del sax live di Mauro Verrone in cui Fabio Bussotti e Mauro Conte interpretano non solo i ruoli dei due protagonist</w:t>
      </w:r>
      <w:r>
        <w:rPr>
          <w:rFonts w:ascii="Franklin Gothic Book" w:hAnsi="Franklin Gothic Book"/>
          <w:bCs/>
          <w:sz w:val="24"/>
          <w:szCs w:val="24"/>
        </w:rPr>
        <w:t>i, ma diventano all’occasione gli avvocati o i genitori dando così una gran prova d’attore.</w:t>
      </w:r>
    </w:p>
    <w:p w:rsidR="00D81FCD" w:rsidRPr="00B50B31" w:rsidRDefault="00B50B31">
      <w:pPr>
        <w:pStyle w:val="NormaleWeb"/>
        <w:spacing w:line="270" w:lineRule="atLeast"/>
        <w:jc w:val="both"/>
        <w:textAlignment w:val="baseline"/>
        <w:rPr>
          <w:rFonts w:ascii="Franklin Gothic Book" w:hAnsi="Franklin Gothic Book"/>
          <w:bCs/>
          <w:i/>
          <w:iCs/>
          <w:color w:val="000000"/>
        </w:rPr>
      </w:pPr>
      <w:r>
        <w:rPr>
          <w:rStyle w:val="Enfasi"/>
          <w:rFonts w:ascii="Franklin Gothic Book" w:hAnsi="Franklin Gothic Book"/>
          <w:bCs/>
          <w:color w:val="000000"/>
        </w:rPr>
        <w:t>“</w:t>
      </w:r>
      <w:r w:rsidRPr="00B50B31">
        <w:rPr>
          <w:rFonts w:ascii="Franklin Gothic Book" w:hAnsi="Franklin Gothic Book"/>
          <w:bCs/>
          <w:i/>
          <w:iCs/>
          <w:color w:val="000000"/>
        </w:rPr>
        <w:t>Poco o niente c’è nel testo teatrale che non provenga direttamente dagli atti del processo, o da articoli di giornale con interviste ai protagonisti o commenti che intellettuali e artisti hanno riservato alla discussa sentenza. Le lettere di Braibanti alla madre sono originali, e la poesia finale è dell’autore. Il testo trova il giusto tono nell’equilibrio tra satira di costume e dramma psicologico, per tenere insieme le parole degli avvocati, così violente, alle loro tesi, così ridicole. A tratti divertenti sono gli interrogatori e le arringhe, mentre sono agghiaccianti le dichiarazioni omofobiche dei cosiddetti “periti”. Per non parlare delle cartelle cliniche firmate dagli “specialisti in malattie nervose” delle cliniche dove fu rinchiuso il giovane Giovanni Sanfratello. Se oggi il nostro Paese è sempre in coda nell’aggiornarsi in tema di diritti civili, e a distanza di oltre quattro decenni ancora si oppone all’adozione per le coppie omosessuali o a una legge contro l’omofobia, vuol dire che Il caso Braibanti non è pagina del passato ma storia presente, che può e deve, ancora, farci sussultare.</w:t>
      </w:r>
      <w:r w:rsidRPr="00B50B31">
        <w:rPr>
          <w:rStyle w:val="Enfasi"/>
          <w:rFonts w:ascii="Franklin Gothic Book" w:hAnsi="Franklin Gothic Book"/>
          <w:bCs/>
          <w:i w:val="0"/>
          <w:color w:val="000000"/>
        </w:rPr>
        <w:t xml:space="preserve">” </w:t>
      </w:r>
      <w:r>
        <w:rPr>
          <w:rStyle w:val="Enfasi"/>
          <w:rFonts w:ascii="Franklin Gothic Book" w:hAnsi="Franklin Gothic Book"/>
          <w:b/>
          <w:bCs/>
          <w:color w:val="000000"/>
        </w:rPr>
        <w:t>Massimiliano Palmese</w:t>
      </w:r>
    </w:p>
    <w:p w:rsidR="00B50B31" w:rsidRDefault="00B50B31">
      <w:pPr>
        <w:spacing w:line="270" w:lineRule="atLeast"/>
        <w:textAlignment w:val="baseline"/>
        <w:rPr>
          <w:rFonts w:ascii="Franklin Gothic Book" w:hAnsi="Franklin Gothic Book"/>
          <w:b/>
          <w:sz w:val="24"/>
          <w:szCs w:val="24"/>
        </w:rPr>
      </w:pPr>
    </w:p>
    <w:p w:rsidR="00B50B31" w:rsidRDefault="00B50B31">
      <w:pPr>
        <w:spacing w:line="270" w:lineRule="atLeast"/>
        <w:textAlignment w:val="baseline"/>
        <w:rPr>
          <w:rFonts w:ascii="Franklin Gothic Book" w:hAnsi="Franklin Gothic Book"/>
          <w:b/>
          <w:sz w:val="24"/>
          <w:szCs w:val="24"/>
        </w:rPr>
      </w:pPr>
    </w:p>
    <w:p w:rsidR="00D81FCD" w:rsidRDefault="00B50B31">
      <w:pPr>
        <w:spacing w:line="270" w:lineRule="atLeast"/>
        <w:textAlignment w:val="baseline"/>
        <w:rPr>
          <w:rFonts w:ascii="Franklin Gothic Book" w:eastAsia="Times New Roman" w:hAnsi="Franklin Gothic Book" w:cs="Arial"/>
          <w:color w:val="1A1A1A"/>
          <w:lang w:eastAsia="it-IT"/>
        </w:rPr>
      </w:pPr>
      <w:r>
        <w:rPr>
          <w:rFonts w:ascii="Franklin Gothic Book" w:hAnsi="Franklin Gothic Book"/>
          <w:b/>
          <w:sz w:val="24"/>
          <w:szCs w:val="24"/>
        </w:rPr>
        <w:lastRenderedPageBreak/>
        <w:t>ORARI</w:t>
      </w:r>
      <w:r>
        <w:rPr>
          <w:rFonts w:ascii="Franklin Gothic Book" w:hAnsi="Franklin Gothic Book"/>
          <w:b/>
          <w:sz w:val="24"/>
          <w:szCs w:val="24"/>
        </w:rPr>
        <w:br/>
      </w:r>
      <w:r>
        <w:rPr>
          <w:rFonts w:ascii="Franklin Gothic Book" w:eastAsia="Times New Roman" w:hAnsi="Franklin Gothic Book" w:cs="Arial"/>
          <w:color w:val="1A1A1A"/>
          <w:lang w:eastAsia="it-IT"/>
        </w:rPr>
        <w:t>martedì h 20:30</w:t>
      </w:r>
      <w:r>
        <w:rPr>
          <w:rFonts w:ascii="Franklin Gothic Book" w:eastAsia="Times New Roman" w:hAnsi="Franklin Gothic Book" w:cs="Arial"/>
          <w:color w:val="1A1A1A"/>
          <w:lang w:eastAsia="it-IT"/>
        </w:rPr>
        <w:br/>
        <w:t>mercoledì h 19:15</w:t>
      </w:r>
      <w:r>
        <w:rPr>
          <w:rFonts w:ascii="Franklin Gothic Book" w:eastAsia="Times New Roman" w:hAnsi="Franklin Gothic Book" w:cs="Arial"/>
          <w:color w:val="1A1A1A"/>
          <w:lang w:eastAsia="it-IT"/>
        </w:rPr>
        <w:br/>
        <w:t>giovedì h 20:00</w:t>
      </w:r>
      <w:r>
        <w:rPr>
          <w:rFonts w:ascii="Franklin Gothic Book" w:eastAsia="Times New Roman" w:hAnsi="Franklin Gothic Book" w:cs="Arial"/>
          <w:color w:val="1A1A1A"/>
          <w:lang w:eastAsia="it-IT"/>
        </w:rPr>
        <w:br/>
        <w:t>venerdì h 20:30</w:t>
      </w:r>
      <w:r>
        <w:rPr>
          <w:rFonts w:ascii="Franklin Gothic Book" w:eastAsia="Times New Roman" w:hAnsi="Franklin Gothic Book" w:cs="Arial"/>
          <w:color w:val="1A1A1A"/>
          <w:lang w:eastAsia="it-IT"/>
        </w:rPr>
        <w:br/>
        <w:t>sabato h 21:00</w:t>
      </w:r>
      <w:r>
        <w:rPr>
          <w:rFonts w:ascii="Franklin Gothic Book" w:eastAsia="Times New Roman" w:hAnsi="Franklin Gothic Book" w:cs="Arial"/>
          <w:color w:val="1A1A1A"/>
          <w:lang w:eastAsia="it-IT"/>
        </w:rPr>
        <w:br/>
        <w:t>domenica h 15:45</w:t>
      </w:r>
    </w:p>
    <w:p w:rsidR="00D81FCD" w:rsidRDefault="00B50B31">
      <w:pPr>
        <w:tabs>
          <w:tab w:val="left" w:pos="2529"/>
        </w:tabs>
        <w:spacing w:line="270" w:lineRule="atLeast"/>
        <w:textAlignment w:val="baseline"/>
      </w:pPr>
      <w:bookmarkStart w:id="0" w:name="_GoBack"/>
      <w:bookmarkEnd w:id="0"/>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b/>
          <w:bCs/>
        </w:rPr>
        <w:t>Platea</w:t>
      </w:r>
      <w:r>
        <w:rPr>
          <w:rFonts w:ascii="Franklin Gothic Book" w:hAnsi="Franklin Gothic Book"/>
        </w:rPr>
        <w:br/>
        <w:t>Intero &gt; 23,50€ + prev.</w:t>
      </w:r>
      <w:r>
        <w:rPr>
          <w:rFonts w:ascii="Franklin Gothic Book" w:hAnsi="Franklin Gothic Book"/>
        </w:rPr>
        <w:br/>
      </w:r>
      <w:r>
        <w:rPr>
          <w:rFonts w:ascii="Franklin Gothic Book" w:hAnsi="Franklin Gothic Book"/>
        </w:rPr>
        <w:t>Ridotto Over65/under26 &gt; 15€ + prev.</w:t>
      </w:r>
      <w:r>
        <w:rPr>
          <w:rFonts w:ascii="Franklin Gothic Book" w:hAnsi="Franklin Gothic Book"/>
        </w:rPr>
        <w:br/>
        <w:t>Convenzioni* &gt; 18€ + prev.</w:t>
      </w:r>
      <w:r>
        <w:rPr>
          <w:rFonts w:ascii="Franklin Gothic Book" w:hAnsi="Franklin Gothic Book"/>
        </w:rPr>
        <w:br/>
      </w:r>
      <w:r>
        <w:rPr>
          <w:rFonts w:ascii="Franklin Gothic Book" w:hAnsi="Franklin Gothic Book"/>
          <w:b/>
          <w:bCs/>
        </w:rPr>
        <w:t>Galleria</w:t>
      </w:r>
      <w:r>
        <w:rPr>
          <w:rFonts w:ascii="Franklin Gothic Book" w:hAnsi="Franklin Gothic Book"/>
        </w:rPr>
        <w:br/>
        <w:t>Intero &gt; 18€</w:t>
      </w:r>
      <w:r>
        <w:rPr>
          <w:rFonts w:ascii="Franklin Gothic Book" w:hAnsi="Franklin Gothic Book"/>
        </w:rPr>
        <w:br/>
        <w:t>Ridotto Over65/under26 &gt; 15€ + prev.</w:t>
      </w:r>
      <w:r>
        <w:rPr>
          <w:rFonts w:ascii="Franklin Gothic Book" w:hAnsi="Franklin Gothic Book"/>
        </w:rPr>
        <w:br/>
        <w:t>* le convenzioni sono valide per platea e galleria, e per tutti i giorni, esclusi venerdì e sabato.</w:t>
      </w:r>
      <w:r>
        <w:rPr>
          <w:rFonts w:ascii="Franklin Gothic Book" w:hAnsi="Franklin Gothic Book"/>
        </w:rPr>
        <w:br/>
        <w:t xml:space="preserve">I biglietti saranno in vendita a </w:t>
      </w:r>
      <w:r>
        <w:rPr>
          <w:rFonts w:ascii="Franklin Gothic Book" w:hAnsi="Franklin Gothic Book"/>
        </w:rPr>
        <w:t>partire dall’1 Agosto sulla nostra biglietteria online.</w:t>
      </w:r>
    </w:p>
    <w:p w:rsidR="00D81FCD" w:rsidRDefault="00D81FCD">
      <w:pPr>
        <w:pStyle w:val="Corpodeltesto"/>
        <w:rPr>
          <w:rFonts w:ascii="Franklin Gothic Book" w:hAnsi="Franklin Gothic Book"/>
          <w:b/>
          <w:i w:val="0"/>
          <w:sz w:val="20"/>
          <w:szCs w:val="20"/>
        </w:rPr>
      </w:pPr>
    </w:p>
    <w:p w:rsidR="00D81FCD" w:rsidRDefault="00B50B31">
      <w:pPr>
        <w:pStyle w:val="Corpodeltesto"/>
      </w:pPr>
      <w:r>
        <w:rPr>
          <w:rFonts w:ascii="Franklin Gothic Book" w:hAnsi="Franklin Gothic Book"/>
          <w:b/>
          <w:i w:val="0"/>
          <w:sz w:val="20"/>
          <w:szCs w:val="20"/>
        </w:rPr>
        <w:t>Informazioni</w:t>
      </w:r>
      <w:r>
        <w:rPr>
          <w:rFonts w:ascii="Franklin Gothic Book" w:hAnsi="Franklin Gothic Book"/>
          <w:b/>
          <w:i w:val="0"/>
          <w:sz w:val="20"/>
          <w:szCs w:val="20"/>
        </w:rPr>
        <w:br/>
      </w:r>
      <w:r>
        <w:rPr>
          <w:rFonts w:ascii="Franklin Gothic Book" w:hAnsi="Franklin Gothic Book"/>
          <w:sz w:val="20"/>
          <w:szCs w:val="20"/>
        </w:rPr>
        <w:t>Biglietteria</w:t>
      </w:r>
      <w:r>
        <w:rPr>
          <w:rFonts w:ascii="Franklin Gothic Book" w:hAnsi="Franklin Gothic Book"/>
          <w:b/>
          <w:i w:val="0"/>
          <w:sz w:val="20"/>
          <w:szCs w:val="20"/>
        </w:rPr>
        <w:br/>
      </w:r>
      <w:r>
        <w:rPr>
          <w:rFonts w:ascii="Franklin Gothic Book" w:hAnsi="Franklin Gothic Book"/>
          <w:i w:val="0"/>
          <w:sz w:val="20"/>
          <w:szCs w:val="20"/>
        </w:rPr>
        <w:t>tel. 0259995206</w:t>
      </w:r>
      <w:r>
        <w:rPr>
          <w:rFonts w:ascii="Franklin Gothic Book" w:hAnsi="Franklin Gothic Book"/>
          <w:b/>
          <w:i w:val="0"/>
          <w:sz w:val="20"/>
          <w:szCs w:val="20"/>
        </w:rPr>
        <w:br/>
      </w:r>
      <w:hyperlink r:id="rId6">
        <w:r>
          <w:rPr>
            <w:rStyle w:val="CollegamentoInternet"/>
            <w:rFonts w:ascii="Franklin Gothic Book" w:hAnsi="Franklin Gothic Book"/>
            <w:i w:val="0"/>
            <w:color w:val="auto"/>
            <w:sz w:val="20"/>
            <w:szCs w:val="20"/>
            <w:u w:val="none"/>
          </w:rPr>
          <w:t>biglietteria@teatrofrancoparenti.com</w:t>
        </w:r>
      </w:hyperlink>
      <w:r>
        <w:rPr>
          <w:rFonts w:ascii="Franklin Gothic Book" w:hAnsi="Franklin Gothic Book"/>
          <w:i w:val="0"/>
          <w:sz w:val="20"/>
          <w:szCs w:val="20"/>
        </w:rPr>
        <w:t xml:space="preserve"> </w:t>
      </w:r>
    </w:p>
    <w:p w:rsidR="00D81FCD" w:rsidRDefault="00D81FCD">
      <w:pPr>
        <w:spacing w:line="240" w:lineRule="auto"/>
      </w:pPr>
      <w:hyperlink r:id="rId7">
        <w:r w:rsidR="00B50B31">
          <w:rPr>
            <w:rStyle w:val="CollegamentoInternet"/>
            <w:rFonts w:ascii="Franklin Gothic Book" w:hAnsi="Franklin Gothic Book"/>
            <w:sz w:val="20"/>
            <w:szCs w:val="20"/>
          </w:rPr>
          <w:t>Biglietteria on line</w:t>
        </w:r>
      </w:hyperlink>
      <w:r w:rsidR="00B50B31">
        <w:rPr>
          <w:rFonts w:ascii="Franklin Gothic Book" w:hAnsi="Franklin Gothic Book"/>
          <w:sz w:val="20"/>
          <w:szCs w:val="20"/>
        </w:rPr>
        <w:t xml:space="preserve"> </w:t>
      </w:r>
      <w:r w:rsidR="00B50B31">
        <w:rPr>
          <w:rFonts w:ascii="Franklin Gothic Book" w:hAnsi="Franklin Gothic Book"/>
          <w:sz w:val="20"/>
          <w:szCs w:val="20"/>
        </w:rPr>
        <w:br/>
      </w:r>
      <w:hyperlink r:id="rId8">
        <w:r w:rsidR="00B50B31">
          <w:rPr>
            <w:rStyle w:val="CollegamentoInternet"/>
            <w:rFonts w:ascii="Franklin Gothic Book" w:hAnsi="Franklin Gothic Book"/>
            <w:sz w:val="20"/>
            <w:szCs w:val="20"/>
          </w:rPr>
          <w:t>www.teatrofrancoparenti.it</w:t>
        </w:r>
      </w:hyperlink>
      <w:r w:rsidR="00B50B31">
        <w:rPr>
          <w:rFonts w:ascii="Franklin Gothic Book" w:hAnsi="Franklin Gothic Book"/>
          <w:sz w:val="20"/>
          <w:szCs w:val="20"/>
        </w:rPr>
        <w:t xml:space="preserve"> </w:t>
      </w:r>
      <w:r w:rsidR="00B50B31">
        <w:rPr>
          <w:rFonts w:ascii="Franklin Gothic Book" w:hAnsi="Franklin Gothic Book"/>
          <w:sz w:val="20"/>
          <w:szCs w:val="20"/>
        </w:rPr>
        <w:br/>
      </w:r>
      <w:r w:rsidR="00B50B31">
        <w:rPr>
          <w:rFonts w:ascii="Franklin Gothic Book" w:hAnsi="Franklin Gothic Book"/>
          <w:b/>
          <w:sz w:val="20"/>
          <w:szCs w:val="20"/>
        </w:rPr>
        <w:t>App</w:t>
      </w:r>
      <w:r w:rsidR="00B50B31">
        <w:rPr>
          <w:rFonts w:ascii="Franklin Gothic Book" w:hAnsi="Franklin Gothic Book"/>
          <w:sz w:val="20"/>
          <w:szCs w:val="20"/>
        </w:rPr>
        <w:t xml:space="preserve"> Teatro Franco Parenti </w:t>
      </w:r>
    </w:p>
    <w:p w:rsidR="00D81FCD" w:rsidRDefault="00B50B31">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r>
        <w:rPr>
          <w:rFonts w:ascii="Franklin Gothic Book" w:hAnsi="Franklin Gothic Book" w:cs="Franklin Gothic Book"/>
          <w:sz w:val="20"/>
          <w:szCs w:val="20"/>
        </w:rP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p>
    <w:p w:rsidR="00D81FCD" w:rsidRDefault="00B50B31">
      <w:pPr>
        <w:pStyle w:val="Corpodeltesto"/>
      </w:pPr>
      <w:r>
        <w:rPr>
          <w:rFonts w:ascii="Franklin Gothic Book" w:hAnsi="Franklin Gothic Book"/>
          <w:sz w:val="20"/>
          <w:szCs w:val="20"/>
        </w:rPr>
        <w:br/>
        <w:t xml:space="preserve">Visita la nostra </w:t>
      </w:r>
      <w:hyperlink r:id="rId10">
        <w:r>
          <w:rPr>
            <w:rStyle w:val="CollegamentoInternet"/>
            <w:rFonts w:ascii="Franklin Gothic Book" w:hAnsi="Franklin Gothic Book"/>
            <w:sz w:val="20"/>
            <w:szCs w:val="20"/>
          </w:rPr>
          <w:t>Area Press</w:t>
        </w:r>
      </w:hyperlink>
    </w:p>
    <w:p w:rsidR="00D81FCD" w:rsidRDefault="00D81FCD">
      <w:pPr>
        <w:pStyle w:val="Corpodeltesto"/>
      </w:pPr>
    </w:p>
    <w:sectPr w:rsidR="00D81FCD" w:rsidSect="00D81FCD">
      <w:headerReference w:type="default" r:id="rId11"/>
      <w:pgSz w:w="11906" w:h="16838"/>
      <w:pgMar w:top="1417"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CD" w:rsidRDefault="00D81FCD" w:rsidP="00D81FCD">
      <w:pPr>
        <w:spacing w:after="0" w:line="240" w:lineRule="auto"/>
      </w:pPr>
      <w:r>
        <w:separator/>
      </w:r>
    </w:p>
  </w:endnote>
  <w:endnote w:type="continuationSeparator" w:id="0">
    <w:p w:rsidR="00D81FCD" w:rsidRDefault="00D81FCD" w:rsidP="00D81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CD" w:rsidRDefault="00D81FCD" w:rsidP="00D81FCD">
      <w:pPr>
        <w:spacing w:after="0" w:line="240" w:lineRule="auto"/>
      </w:pPr>
      <w:r>
        <w:separator/>
      </w:r>
    </w:p>
  </w:footnote>
  <w:footnote w:type="continuationSeparator" w:id="0">
    <w:p w:rsidR="00D81FCD" w:rsidRDefault="00D81FCD" w:rsidP="00D81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CD" w:rsidRDefault="00B50B31">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D81FCD" w:rsidRDefault="00D81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D81FCD"/>
    <w:rsid w:val="00B50B31"/>
    <w:rsid w:val="00D81F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ListLabel1">
    <w:name w:val="ListLabel 1"/>
    <w:qFormat/>
    <w:rsid w:val="00D81FCD"/>
    <w:rPr>
      <w:rFonts w:ascii="Franklin Gothic Book" w:hAnsi="Franklin Gothic Book"/>
      <w:i w:val="0"/>
      <w:color w:val="auto"/>
      <w:sz w:val="20"/>
      <w:szCs w:val="20"/>
      <w:u w:val="none"/>
    </w:rPr>
  </w:style>
  <w:style w:type="character" w:customStyle="1" w:styleId="ListLabel2">
    <w:name w:val="ListLabel 2"/>
    <w:qFormat/>
    <w:rsid w:val="00D81FCD"/>
    <w:rPr>
      <w:rFonts w:ascii="Franklin Gothic Book" w:hAnsi="Franklin Gothic Book"/>
      <w:sz w:val="20"/>
      <w:szCs w:val="20"/>
    </w:rPr>
  </w:style>
  <w:style w:type="character" w:customStyle="1" w:styleId="ListLabel3">
    <w:name w:val="ListLabel 3"/>
    <w:qFormat/>
    <w:rsid w:val="00D81FCD"/>
    <w:rPr>
      <w:rFonts w:ascii="Franklin Gothic Book" w:hAnsi="Franklin Gothic Book" w:cs="Franklin Gothic Book"/>
      <w:sz w:val="20"/>
      <w:szCs w:val="20"/>
    </w:rPr>
  </w:style>
  <w:style w:type="character" w:customStyle="1" w:styleId="ListLabel4">
    <w:name w:val="ListLabel 4"/>
    <w:qFormat/>
    <w:rsid w:val="00D81FCD"/>
    <w:rPr>
      <w:rFonts w:ascii="Franklin Gothic Book" w:hAnsi="Franklin Gothic Book"/>
      <w:i w:val="0"/>
      <w:color w:val="auto"/>
      <w:sz w:val="20"/>
      <w:szCs w:val="20"/>
      <w:u w:val="none"/>
    </w:rPr>
  </w:style>
  <w:style w:type="character" w:customStyle="1" w:styleId="ListLabel5">
    <w:name w:val="ListLabel 5"/>
    <w:qFormat/>
    <w:rsid w:val="00D81FCD"/>
    <w:rPr>
      <w:rFonts w:ascii="Franklin Gothic Book" w:hAnsi="Franklin Gothic Book"/>
      <w:sz w:val="20"/>
      <w:szCs w:val="20"/>
    </w:rPr>
  </w:style>
  <w:style w:type="character" w:customStyle="1" w:styleId="ListLabel6">
    <w:name w:val="ListLabel 6"/>
    <w:qFormat/>
    <w:rsid w:val="00D81FCD"/>
    <w:rPr>
      <w:rFonts w:ascii="Franklin Gothic Book" w:hAnsi="Franklin Gothic Book" w:cs="Franklin Gothic Book"/>
      <w:sz w:val="20"/>
      <w:szCs w:val="20"/>
    </w:rPr>
  </w:style>
  <w:style w:type="paragraph" w:styleId="Titolo">
    <w:name w:val="Title"/>
    <w:basedOn w:val="Normale"/>
    <w:next w:val="Corpodeltesto"/>
    <w:qFormat/>
    <w:rsid w:val="00D81FC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D81FCD"/>
    <w:rPr>
      <w:rFonts w:cs="Arial"/>
    </w:rPr>
  </w:style>
  <w:style w:type="paragraph" w:customStyle="1" w:styleId="Caption">
    <w:name w:val="Caption"/>
    <w:basedOn w:val="Normale"/>
    <w:qFormat/>
    <w:rsid w:val="00D81FCD"/>
    <w:pPr>
      <w:suppressLineNumbers/>
      <w:spacing w:before="120" w:after="120"/>
    </w:pPr>
    <w:rPr>
      <w:rFonts w:cs="Arial"/>
      <w:i/>
      <w:iCs/>
      <w:sz w:val="24"/>
      <w:szCs w:val="24"/>
    </w:rPr>
  </w:style>
  <w:style w:type="paragraph" w:customStyle="1" w:styleId="Indice">
    <w:name w:val="Indice"/>
    <w:basedOn w:val="Normale"/>
    <w:qFormat/>
    <w:rsid w:val="00D81FCD"/>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614</Words>
  <Characters>3503</Characters>
  <Application>Microsoft Office Word</Application>
  <DocSecurity>0</DocSecurity>
  <Lines>29</Lines>
  <Paragraphs>8</Paragraphs>
  <ScaleCrop>false</ScaleCrop>
  <Company>Hewlett-Packard</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53</cp:revision>
  <cp:lastPrinted>2017-09-25T09:02:00Z</cp:lastPrinted>
  <dcterms:created xsi:type="dcterms:W3CDTF">2017-04-03T09:28:00Z</dcterms:created>
  <dcterms:modified xsi:type="dcterms:W3CDTF">2018-10-17T10:01:00Z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