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8"/>
          <w:szCs w:val="28"/>
        </w:rPr>
      </w:pPr>
      <w:r>
        <w:rPr>
          <w:rFonts w:ascii="Franklin Gothic Book" w:eastAsia="Calibri" w:hAnsi="Franklin Gothic Book" w:cs="Times New Roman"/>
          <w:sz w:val="28"/>
          <w:szCs w:val="28"/>
        </w:rPr>
        <w:t>Biografie</w:t>
      </w:r>
    </w:p>
    <w:p w:rsid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b/>
          <w:sz w:val="28"/>
          <w:szCs w:val="28"/>
        </w:rPr>
        <w:t>Davide Carnevali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326059">
        <w:rPr>
          <w:rFonts w:ascii="Franklin Gothic Book" w:eastAsia="Calibri" w:hAnsi="Franklin Gothic Book" w:cs="Times New Roman"/>
          <w:sz w:val="24"/>
          <w:szCs w:val="24"/>
        </w:rPr>
        <w:br/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È autore, regista e teorico. Si è dottorato in Teoria del Teatro presso la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Universitat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Autònoma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Barcelona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dopo un periodo di studi alla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Freie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Universität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Berlin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con una tesi dal titolo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Forma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dramática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y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representación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del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mundo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(pubblicata nel 2017 dalla casa editrice Paso 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Gato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Ciudad de México). Insegna Drammaturgia e Teoria del teatro alla “Scuola d’Arte Drammatica Paolo Grassi” di Milano e presso “17,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Instituto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Estudios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Críticos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” di Città del Messico; parallelamente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imparte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seminari presso differenti istituzioni e teatri. Integra il Comitato di Drammaturgia del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Teatre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Nacional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de Catalunya e il Consiglio editoriale delle riviste “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Estudis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Escènics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” e “Pausa”.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Come autore si forma con Laura Curino in Italia e con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Carles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Batlle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presso la Sala Beckett di Barcellona; amplia i suoi studi in Spagna e Germania assistendo ai seminari di Martin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Crimp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Biljana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Srbljanović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José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Sanchis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Sinisterra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, Hans-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Thies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Lehmann, John von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Düffel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Simon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Stephens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Martin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Heckmanns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Con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Variazioni sul modello di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Kraepelin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si è aggiudicato nel 2009 il premio “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Theatertext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als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Hörspiel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” al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Theatertreffen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Berlino e il “Premio Marisa Fabbri” al Premio Riccione per il Teatro, e nel 2012 il “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Prix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les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Journées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de Lyon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des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auteurs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”.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Come fu che in Italia scoppiò la rivoluzione ma nessuno se ne accorse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ha ricevuto il “Premio Scintille” del Festival Asti Teatro 2010 e il “Premio Borrello alla nuova drammaturgia” 2011. La prima parte del Dittico dell’Europa,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Sweet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Home Europa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è stata presentata nell’edizione 2011 del Festival Internazionale di Letteratura di Berlino e ha debuttato nel 2012 con una produzione del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Schauspielhaus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Bochum, e in forma di radiodramma per la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Deutschlandradio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Kultur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; nel 2015 è stata allestita anche in Italia, prodotta dal Teatro di Roma, per la regia di Fabrizio Arcuri. 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Nel 2013 è stato incluso (insieme a Elfriede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Jelinek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Roland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Schimmelpfennig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Marius von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Mayenburg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Werner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Schwab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tra gli altri) nella lista dei 35 autori più rappresentativi della storia del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Theatertreffen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Stückemarkt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che per l’occasione ha incaricato e sovvenzionato la scrittura della seconda parte del Dittico,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Goodbye Europa. Lost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Words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Nello stesso anno ha vinto il “Premio Riccione per il Teatro” con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Ritratto di donna araba che guarda il mare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Nel 2016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Menelao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ha ricevuto la menzione speciale della giuria alla prima edizione del Premio Platea. Attualmente è autore residente presso la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Münchner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Biennale 2018.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>Le sue opere sono state presentate in diverse stagioni teatrali e festival internazionali, e sono tradotte in catalano, estone, francese, greco, inglese, polacco, portoghese, rumeno, russo, spagnolo, tedesco, ungherese.</w:t>
      </w:r>
    </w:p>
    <w:p w:rsidR="00E03BEE" w:rsidRPr="00692314" w:rsidRDefault="00E03BEE" w:rsidP="00326059">
      <w:pPr>
        <w:rPr>
          <w:rFonts w:ascii="Franklin Gothic Book" w:hAnsi="Franklin Gothic Book"/>
        </w:rPr>
      </w:pP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8"/>
          <w:szCs w:val="28"/>
        </w:rPr>
      </w:pPr>
      <w:r w:rsidRPr="00692314">
        <w:rPr>
          <w:rFonts w:ascii="Franklin Gothic Book" w:eastAsia="Calibri" w:hAnsi="Franklin Gothic Book" w:cs="Times New Roman"/>
          <w:b/>
          <w:sz w:val="28"/>
          <w:szCs w:val="28"/>
        </w:rPr>
        <w:t>Fabrizio Martorelli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Nato a Napoli, diplomato nel 2008 alla Scuola del Piccolo Teatro di Milano diretta da Luca Ronconi, è attivo prevalentemente in teatro. Ha lavorato per il Piccolo Teatro di Milano nei due spettacoli di Giorgio Strehler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 xml:space="preserve">Così fan tutte </w:t>
      </w:r>
      <w:r w:rsidRPr="00692314">
        <w:rPr>
          <w:rFonts w:ascii="Franklin Gothic Book" w:eastAsia="Calibri" w:hAnsi="Franklin Gothic Book" w:cs="Times New Roman"/>
          <w:iCs/>
          <w:sz w:val="24"/>
          <w:szCs w:val="24"/>
        </w:rPr>
        <w:t>e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 xml:space="preserve"> Arlecchino servitore di due padroni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quest’ultimo tuttora in scena; e nel 2008 con Massimo 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Francovich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ne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Gl’Innamorati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Carlo Goldoni. Per lo Stabile di Bolzano ha recitato nel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Gabbiano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Cechov (2008), con Patrizia Milani e Maurizio Donadoni; e nel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Malato Immaginario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Molière (2010), con Paolo Bonacelli, entrambi per la regia di Marco Bernardi. Per il Teatro Piemonte Europa di Torino ha lavorato in: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Il Divorzio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Vittorio Alfieri (2012), per la regia di Beppe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Navello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;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Woyzeck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Büchner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per la regia di Emiliano Bronzino;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Il Milione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(2015), con e per la regia di Claudio Insegno; i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Tre moschettieri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Alexandre Dumas (2016), di cui hanno firmato la regia Beppe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Navello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Gigi Proietti, Piero Maccarinelli e Myriam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Tanant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Ha inoltre recitato da protagonista in numerosi testi di drammaturgia contemporanea, tra cui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Tradimenti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(2012) e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Il Calapranzi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(2013) di Harold Pinter,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Due Fratelli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(2011) di Fausto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Paravidino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>L’autore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(2010) di Tim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Crouch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 xml:space="preserve">La dodicesima notte 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(2011) e </w:t>
      </w:r>
      <w:r w:rsidRPr="00692314">
        <w:rPr>
          <w:rFonts w:ascii="Franklin Gothic Book" w:eastAsia="Calibri" w:hAnsi="Franklin Gothic Book" w:cs="Times New Roman"/>
          <w:i/>
          <w:iCs/>
          <w:sz w:val="24"/>
          <w:szCs w:val="24"/>
        </w:rPr>
        <w:t xml:space="preserve">Saccarina 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(2012) di Davide Carnevali. 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lastRenderedPageBreak/>
        <w:t xml:space="preserve">Nel dicembre 2014 riscrive e interpreta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Canto di Natale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Charles Dickens come monologo, affidando la regia ad Antonio Mingarelli. Con lo stesso regista, nell’aprile 2015 è in scena in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Pene d’amor perdute ‘50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per cui cura anche gli arrangiamenti vocali. Sempre nel 2015, al Napoli Teatro Festival debutta con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Casa di bambola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nella riscrittura di Emanuele Aldrovandi, per la regia di Sandro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Mabellini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Attento soprattutto alla realtà del cinema indipendente, ha recitato in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Alex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Dario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Daleffe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In Guerra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Davide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Sibaldi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Cristian Freeman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Davide Mazzoni,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Juliet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2.0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e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Doppio Zero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entrambi di Luca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Solina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In radio ha lavorato con Sergio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Ferrentino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nei progetti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Crediti d’Autore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e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AutoreVole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per una serie di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audiodrammi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registrati in teatro. Da oltre quindici anni è anche attore e marionettista per il Teatro Colla. Tra i riconoscimenti la segnalazione al “Premio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Hystrio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” nel 2005 e il premio come attore di prosa “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Salicedoro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” nel 2011.</w:t>
      </w:r>
    </w:p>
    <w:p w:rsidR="00692314" w:rsidRPr="00692314" w:rsidRDefault="00692314" w:rsidP="00326059">
      <w:pPr>
        <w:rPr>
          <w:rFonts w:ascii="Franklin Gothic Book" w:hAnsi="Franklin Gothic Book"/>
          <w:sz w:val="28"/>
          <w:szCs w:val="28"/>
        </w:rPr>
      </w:pP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92314">
        <w:rPr>
          <w:rFonts w:ascii="Franklin Gothic Book" w:eastAsia="Calibri" w:hAnsi="Franklin Gothic Book" w:cs="Times New Roman"/>
          <w:b/>
          <w:sz w:val="28"/>
          <w:szCs w:val="28"/>
        </w:rPr>
        <w:t>Silvia Giulia Mendola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Diplomata all’Accademia dei Filodrammatici nel 2003, Silvia Giulia Mendola si è imposta come una dei giovani talenti più promettenti dello scenario teatrale nazionale, vincendo il “Premio alla vocazione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Hystrio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2004”, il concorso teatrale femminile “La Parola e il Gesto 2004”, il Primo Premio al “Concorso Nazionale di prosa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Salicedoro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2011”, e ricevendo nel 2007 una segnalazione al “Premio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Ubu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”, per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Sei personaggi in cerca d’autore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>, di Nanni Garella. Nel 2010 riceve la segnalazione dal comune di Milano “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MilanoDonna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” categoria spettacolo, con la motivazione: «attrice e regista milanese di sicuro talento e nuova promessa del teatro nazionale, per saper portare sul palcoscenico con passione e originalità l’universo femminile». 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Ha recitato con maestri quali André Ruth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Shammah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Giorgio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Barberio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Corsetti, Corrado Accordino, Leo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Muscato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Nanni Garella; e ha calcato il palcoscenico di numerosi teatri milanesi, tra cui Teatro alla Scala, Franco Parenti, Teatro Litta, Filodrammatici,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Tieffe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Olmetto e Teatro Libero. È stata protagonista in ruoli come quello della Figliastra nei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Sei personaggi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Sofia in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Platonov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Giocasta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in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Pasolini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tutti per la regia di Nanni Garella; co-protagonista, nel ruolo di Suor Rosa in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Tutto su mia madre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per la regia di Leo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Muscato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Nel 2016 è attrice al Teatro Stabile di Torino, diretta da Leo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Muscato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nel ruolo di Celia in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As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you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like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it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Parallelamente ha portato avanti la carriera cinematografica e televisiva; tra gli ultimi impegni, nel 2015 è stata protagonista di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Doppio Zero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Luca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Solina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, medio-metraggio presentato al Festival di Cannes. 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Come regista, ha diretto spettacoli di grande successo quali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Le relazioni pericolose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La verità vi prego sull’amore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Don Giovanni a mosca cieca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>, 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Il corpo delle donne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. È stata in residenza con la sua compagnia al Teatro Franco Parenti di Milano, con spettacoli di drammaturgia contemporanea come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Saccarina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Davide Carnevali e </w:t>
      </w:r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Marilyn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Mon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Amour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  <w:szCs w:val="24"/>
        </w:rPr>
        <w:t>...</w:t>
      </w: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Cinzia Spanò. 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Nel 2010 è stata direttore artistico della rassegna “Vogliamo Vivere!” allo spazio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Revel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 xml:space="preserve"> di Milano. È presidente dell’Associazione culturale </w:t>
      </w:r>
      <w:proofErr w:type="spellStart"/>
      <w:r w:rsidRPr="00692314">
        <w:rPr>
          <w:rFonts w:ascii="Franklin Gothic Book" w:eastAsia="Calibri" w:hAnsi="Franklin Gothic Book" w:cs="Times New Roman"/>
          <w:sz w:val="24"/>
          <w:szCs w:val="24"/>
        </w:rPr>
        <w:t>PianoinBilico</w:t>
      </w:r>
      <w:proofErr w:type="spellEnd"/>
      <w:r w:rsidRPr="00692314">
        <w:rPr>
          <w:rFonts w:ascii="Franklin Gothic Book" w:eastAsia="Calibri" w:hAnsi="Franklin Gothic Book" w:cs="Times New Roman"/>
          <w:sz w:val="24"/>
          <w:szCs w:val="24"/>
        </w:rPr>
        <w:t>, con cui ha vinto il bando “Cariplo A&amp;C creatività giovanile” nel 2011. 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692314">
        <w:rPr>
          <w:rFonts w:ascii="Franklin Gothic Book" w:eastAsia="Calibri" w:hAnsi="Franklin Gothic Book" w:cs="Times New Roman"/>
          <w:b/>
          <w:sz w:val="28"/>
          <w:szCs w:val="28"/>
        </w:rPr>
        <w:t xml:space="preserve">Alberto </w:t>
      </w:r>
      <w:proofErr w:type="spellStart"/>
      <w:r w:rsidRPr="00692314">
        <w:rPr>
          <w:rFonts w:ascii="Franklin Gothic Book" w:eastAsia="Calibri" w:hAnsi="Franklin Gothic Book" w:cs="Times New Roman"/>
          <w:b/>
          <w:sz w:val="28"/>
          <w:szCs w:val="28"/>
        </w:rPr>
        <w:t>Onofrietti</w:t>
      </w:r>
      <w:proofErr w:type="spellEnd"/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</w:rPr>
      </w:pPr>
      <w:r w:rsidRPr="00692314">
        <w:rPr>
          <w:rFonts w:ascii="Franklin Gothic Book" w:eastAsia="Calibri" w:hAnsi="Franklin Gothic Book" w:cs="Times New Roman"/>
          <w:sz w:val="24"/>
        </w:rPr>
        <w:t xml:space="preserve">Diplomato nel 2003 presso la Scuola d’Arte Drammatica Paolo Grassi, continua la sua formazione frequentando la Scuola di perfezionamento Santa Cristina, diretta da Luca Ronconi. Approfondisce poi i suoi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studidi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recitazione attraverso i seminari di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Lev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Dodin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Jan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Fabre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Yoshi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Oida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Bruce Myers,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Mamadou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Dioume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Danio Manfredini, Claudio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Morganti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Massimo De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Francovich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Giovanni Crippa,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Oskaras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Korsunovas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Daniele Salvo, Andreas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Rallis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>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</w:rPr>
      </w:pPr>
      <w:r w:rsidRPr="00692314">
        <w:rPr>
          <w:rFonts w:ascii="Franklin Gothic Book" w:eastAsia="Calibri" w:hAnsi="Franklin Gothic Book" w:cs="Times New Roman"/>
          <w:sz w:val="24"/>
        </w:rPr>
        <w:t xml:space="preserve">Inizia la sua attività professionale a 21 anni, diretto da Claudio Longhi nella compagnia Gli Incamminati di Franco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Branciaroli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. Negli anni ha la possibilità di lavorare accanto a importanti attori del panorama italiano come, appunto,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Branciaroli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Cos’è l’amore</w:t>
      </w:r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</w:rPr>
        <w:t>La peste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Massimo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Popolizio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Ploutos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),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Gianrico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Tedeschi (</w:t>
      </w:r>
      <w:r w:rsidRPr="00692314">
        <w:rPr>
          <w:rFonts w:ascii="Franklin Gothic Book" w:eastAsia="Calibri" w:hAnsi="Franklin Gothic Book" w:cs="Times New Roman"/>
          <w:i/>
          <w:sz w:val="24"/>
        </w:rPr>
        <w:t>Farà giorno</w:t>
      </w:r>
      <w:r w:rsidRPr="00692314">
        <w:rPr>
          <w:rFonts w:ascii="Franklin Gothic Book" w:eastAsia="Calibri" w:hAnsi="Franklin Gothic Book" w:cs="Times New Roman"/>
          <w:sz w:val="24"/>
        </w:rPr>
        <w:t>), Elisabetta Pozzi (</w:t>
      </w:r>
      <w:r w:rsidRPr="00692314">
        <w:rPr>
          <w:rFonts w:ascii="Franklin Gothic Book" w:eastAsia="Calibri" w:hAnsi="Franklin Gothic Book" w:cs="Times New Roman"/>
          <w:i/>
          <w:sz w:val="24"/>
        </w:rPr>
        <w:t>Tutto su mia madre</w:t>
      </w:r>
      <w:r w:rsidRPr="00692314">
        <w:rPr>
          <w:rFonts w:ascii="Franklin Gothic Book" w:eastAsia="Calibri" w:hAnsi="Franklin Gothic Book" w:cs="Times New Roman"/>
          <w:sz w:val="24"/>
        </w:rPr>
        <w:t>), Maddalena Crippa (</w:t>
      </w:r>
      <w:r w:rsidRPr="00692314">
        <w:rPr>
          <w:rFonts w:ascii="Franklin Gothic Book" w:eastAsia="Calibri" w:hAnsi="Franklin Gothic Book" w:cs="Times New Roman"/>
          <w:i/>
          <w:sz w:val="24"/>
        </w:rPr>
        <w:t>Madre Coraggio e i suoi figli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Elia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Schilton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Antigone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Andrea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Jonasson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La storia della bambola abbandonata</w:t>
      </w:r>
      <w:r w:rsidRPr="00692314">
        <w:rPr>
          <w:rFonts w:ascii="Franklin Gothic Book" w:eastAsia="Calibri" w:hAnsi="Franklin Gothic Book" w:cs="Times New Roman"/>
          <w:sz w:val="24"/>
        </w:rPr>
        <w:t xml:space="preserve">). Ha lavorato inoltre con registi quali Derek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Walcott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</w:t>
      </w:r>
      <w:r w:rsidRPr="00692314">
        <w:rPr>
          <w:rFonts w:ascii="Franklin Gothic Book" w:eastAsia="Calibri" w:hAnsi="Franklin Gothic Book" w:cs="Times New Roman"/>
          <w:sz w:val="24"/>
        </w:rPr>
        <w:lastRenderedPageBreak/>
        <w:t>(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Odyssey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), Robert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Carsen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Madre Coraggio e i suoi figli</w:t>
      </w:r>
      <w:r w:rsidRPr="00692314">
        <w:rPr>
          <w:rFonts w:ascii="Franklin Gothic Book" w:eastAsia="Calibri" w:hAnsi="Franklin Gothic Book" w:cs="Times New Roman"/>
          <w:sz w:val="24"/>
        </w:rPr>
        <w:t>), Ricci/Forte (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Troia’s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</w:rPr>
        <w:t xml:space="preserve"> discount</w:t>
      </w:r>
      <w:r w:rsidRPr="00692314">
        <w:rPr>
          <w:rFonts w:ascii="Franklin Gothic Book" w:eastAsia="Calibri" w:hAnsi="Franklin Gothic Book" w:cs="Times New Roman"/>
          <w:sz w:val="24"/>
        </w:rPr>
        <w:t>), Piero Maccarinelli (</w:t>
      </w:r>
      <w:r w:rsidRPr="00692314">
        <w:rPr>
          <w:rFonts w:ascii="Franklin Gothic Book" w:eastAsia="Calibri" w:hAnsi="Franklin Gothic Book" w:cs="Times New Roman"/>
          <w:i/>
          <w:sz w:val="24"/>
        </w:rPr>
        <w:t>Farà giorno</w:t>
      </w:r>
      <w:r w:rsidRPr="00692314">
        <w:rPr>
          <w:rFonts w:ascii="Franklin Gothic Book" w:eastAsia="Calibri" w:hAnsi="Franklin Gothic Book" w:cs="Times New Roman"/>
          <w:sz w:val="24"/>
        </w:rPr>
        <w:t xml:space="preserve"> e </w:t>
      </w:r>
      <w:r w:rsidRPr="00692314">
        <w:rPr>
          <w:rFonts w:ascii="Franklin Gothic Book" w:eastAsia="Calibri" w:hAnsi="Franklin Gothic Book" w:cs="Times New Roman"/>
          <w:i/>
          <w:sz w:val="24"/>
        </w:rPr>
        <w:t>La stanza di sopra</w:t>
      </w:r>
      <w:r w:rsidRPr="00692314">
        <w:rPr>
          <w:rFonts w:ascii="Franklin Gothic Book" w:eastAsia="Calibri" w:hAnsi="Franklin Gothic Book" w:cs="Times New Roman"/>
          <w:sz w:val="24"/>
        </w:rPr>
        <w:t>).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</w:rPr>
      </w:pPr>
      <w:r w:rsidRPr="00692314">
        <w:rPr>
          <w:rFonts w:ascii="Franklin Gothic Book" w:eastAsia="Calibri" w:hAnsi="Franklin Gothic Book" w:cs="Times New Roman"/>
          <w:sz w:val="24"/>
        </w:rPr>
        <w:t>Davanti alla camera da presa lavora, tra gli altri, con Sergio F. Ferrari (</w:t>
      </w:r>
      <w:r w:rsidRPr="00692314">
        <w:rPr>
          <w:rFonts w:ascii="Franklin Gothic Book" w:eastAsia="Calibri" w:hAnsi="Franklin Gothic Book" w:cs="Times New Roman"/>
          <w:i/>
          <w:sz w:val="24"/>
        </w:rPr>
        <w:t>L’ultimo giorno d’inverno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Michele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Fiascaris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Fat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</w:rPr>
        <w:t xml:space="preserve">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Cat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</w:rPr>
        <w:t xml:space="preserve">Made In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Italy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), Luca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Solina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Puzzle</w:t>
      </w:r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proofErr w:type="spellStart"/>
      <w:r w:rsidRPr="00692314">
        <w:rPr>
          <w:rFonts w:ascii="Franklin Gothic Book" w:eastAsia="Calibri" w:hAnsi="Franklin Gothic Book" w:cs="Times New Roman"/>
          <w:i/>
          <w:sz w:val="24"/>
        </w:rPr>
        <w:t>Juliet</w:t>
      </w:r>
      <w:proofErr w:type="spellEnd"/>
      <w:r w:rsidRPr="00692314">
        <w:rPr>
          <w:rFonts w:ascii="Franklin Gothic Book" w:eastAsia="Calibri" w:hAnsi="Franklin Gothic Book" w:cs="Times New Roman"/>
          <w:i/>
          <w:sz w:val="24"/>
        </w:rPr>
        <w:t xml:space="preserve"> 2.0</w:t>
      </w:r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</w:rPr>
        <w:t>Doppio zero</w:t>
      </w:r>
      <w:r w:rsidRPr="00692314">
        <w:rPr>
          <w:rFonts w:ascii="Franklin Gothic Book" w:eastAsia="Calibri" w:hAnsi="Franklin Gothic Book" w:cs="Times New Roman"/>
          <w:sz w:val="24"/>
        </w:rPr>
        <w:t>), Marco Mazzoni (</w:t>
      </w:r>
      <w:r w:rsidRPr="00692314">
        <w:rPr>
          <w:rFonts w:ascii="Franklin Gothic Book" w:eastAsia="Calibri" w:hAnsi="Franklin Gothic Book" w:cs="Times New Roman"/>
          <w:i/>
          <w:sz w:val="24"/>
        </w:rPr>
        <w:t>Nemesi</w:t>
      </w:r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</w:rPr>
        <w:t>Christian Freeman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Davide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Sibaldi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In guerra</w:t>
      </w:r>
      <w:r w:rsidRPr="00692314">
        <w:rPr>
          <w:rFonts w:ascii="Franklin Gothic Book" w:eastAsia="Calibri" w:hAnsi="Franklin Gothic Book" w:cs="Times New Roman"/>
          <w:sz w:val="24"/>
        </w:rPr>
        <w:t>), Daniele Sartori (</w:t>
      </w:r>
      <w:r w:rsidRPr="00692314">
        <w:rPr>
          <w:rFonts w:ascii="Franklin Gothic Book" w:eastAsia="Calibri" w:hAnsi="Franklin Gothic Book" w:cs="Times New Roman"/>
          <w:i/>
          <w:sz w:val="24"/>
        </w:rPr>
        <w:t>Contatto forzato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Giovanni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Cismondi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Alpino Riccardo Giusto</w:t>
      </w:r>
      <w:r w:rsidRPr="00692314">
        <w:rPr>
          <w:rFonts w:ascii="Franklin Gothic Book" w:eastAsia="Calibri" w:hAnsi="Franklin Gothic Book" w:cs="Times New Roman"/>
          <w:sz w:val="24"/>
        </w:rPr>
        <w:t xml:space="preserve">). È inoltre sul set di </w:t>
      </w:r>
      <w:r w:rsidRPr="00692314">
        <w:rPr>
          <w:rFonts w:ascii="Franklin Gothic Book" w:eastAsia="Calibri" w:hAnsi="Franklin Gothic Book" w:cs="Times New Roman"/>
          <w:i/>
          <w:sz w:val="24"/>
        </w:rPr>
        <w:t>Giallo</w:t>
      </w:r>
      <w:r w:rsidRPr="00692314">
        <w:rPr>
          <w:rFonts w:ascii="Franklin Gothic Book" w:eastAsia="Calibri" w:hAnsi="Franklin Gothic Book" w:cs="Times New Roman"/>
          <w:sz w:val="24"/>
        </w:rPr>
        <w:t xml:space="preserve"> di Dario Argento e </w:t>
      </w:r>
      <w:r w:rsidRPr="00692314">
        <w:rPr>
          <w:rFonts w:ascii="Franklin Gothic Book" w:eastAsia="Calibri" w:hAnsi="Franklin Gothic Book" w:cs="Times New Roman"/>
          <w:i/>
          <w:sz w:val="24"/>
        </w:rPr>
        <w:t>L’uomo che verrà</w:t>
      </w:r>
      <w:r w:rsidRPr="00692314">
        <w:rPr>
          <w:rFonts w:ascii="Franklin Gothic Book" w:eastAsia="Calibri" w:hAnsi="Franklin Gothic Book" w:cs="Times New Roman"/>
          <w:sz w:val="24"/>
        </w:rPr>
        <w:t xml:space="preserve"> di Giorgio Diritti.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</w:rPr>
      </w:pPr>
      <w:r w:rsidRPr="00692314">
        <w:rPr>
          <w:rFonts w:ascii="Franklin Gothic Book" w:eastAsia="Calibri" w:hAnsi="Franklin Gothic Book" w:cs="Times New Roman"/>
          <w:sz w:val="24"/>
        </w:rPr>
        <w:t>L’interesse per la drammaturgia contemporanea lo porta negli anni a confrontarsi con autori come Harold Pinter (</w:t>
      </w:r>
      <w:r w:rsidRPr="00692314">
        <w:rPr>
          <w:rFonts w:ascii="Franklin Gothic Book" w:eastAsia="Calibri" w:hAnsi="Franklin Gothic Book" w:cs="Times New Roman"/>
          <w:i/>
          <w:sz w:val="24"/>
        </w:rPr>
        <w:t>Tradimenti</w:t>
      </w:r>
      <w:r w:rsidRPr="00692314">
        <w:rPr>
          <w:rFonts w:ascii="Franklin Gothic Book" w:eastAsia="Calibri" w:hAnsi="Franklin Gothic Book" w:cs="Times New Roman"/>
          <w:sz w:val="24"/>
        </w:rPr>
        <w:t xml:space="preserve">, </w:t>
      </w:r>
      <w:r w:rsidRPr="00692314">
        <w:rPr>
          <w:rFonts w:ascii="Franklin Gothic Book" w:eastAsia="Calibri" w:hAnsi="Franklin Gothic Book" w:cs="Times New Roman"/>
          <w:i/>
          <w:sz w:val="24"/>
        </w:rPr>
        <w:t>Il calapranzi</w:t>
      </w:r>
      <w:r w:rsidRPr="00692314">
        <w:rPr>
          <w:rFonts w:ascii="Franklin Gothic Book" w:eastAsia="Calibri" w:hAnsi="Franklin Gothic Book" w:cs="Times New Roman"/>
          <w:sz w:val="24"/>
        </w:rPr>
        <w:t>), David Mamet (</w:t>
      </w:r>
      <w:r w:rsidRPr="00692314">
        <w:rPr>
          <w:rFonts w:ascii="Franklin Gothic Book" w:eastAsia="Calibri" w:hAnsi="Franklin Gothic Book" w:cs="Times New Roman"/>
          <w:i/>
          <w:sz w:val="24"/>
        </w:rPr>
        <w:t>Il bosco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David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Greig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Kyoto/Fragile</w:t>
      </w:r>
      <w:r w:rsidRPr="00692314">
        <w:rPr>
          <w:rFonts w:ascii="Franklin Gothic Book" w:eastAsia="Calibri" w:hAnsi="Franklin Gothic Book" w:cs="Times New Roman"/>
          <w:sz w:val="24"/>
        </w:rPr>
        <w:t xml:space="preserve">), Martin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Crimp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 (</w:t>
      </w:r>
      <w:r w:rsidRPr="00692314">
        <w:rPr>
          <w:rFonts w:ascii="Franklin Gothic Book" w:eastAsia="Calibri" w:hAnsi="Franklin Gothic Book" w:cs="Times New Roman"/>
          <w:i/>
          <w:sz w:val="24"/>
        </w:rPr>
        <w:t>Il gabbiano</w:t>
      </w:r>
      <w:r w:rsidRPr="00692314">
        <w:rPr>
          <w:rFonts w:ascii="Franklin Gothic Book" w:eastAsia="Calibri" w:hAnsi="Franklin Gothic Book" w:cs="Times New Roman"/>
          <w:sz w:val="24"/>
        </w:rPr>
        <w:t>), Davide Carnevali (</w:t>
      </w:r>
      <w:r w:rsidRPr="00692314">
        <w:rPr>
          <w:rFonts w:ascii="Franklin Gothic Book" w:eastAsia="Calibri" w:hAnsi="Franklin Gothic Book" w:cs="Times New Roman"/>
          <w:i/>
          <w:sz w:val="24"/>
        </w:rPr>
        <w:t>Saccarina</w:t>
      </w:r>
      <w:r w:rsidRPr="00692314">
        <w:rPr>
          <w:rFonts w:ascii="Franklin Gothic Book" w:eastAsia="Calibri" w:hAnsi="Franklin Gothic Book" w:cs="Times New Roman"/>
          <w:sz w:val="24"/>
        </w:rPr>
        <w:t xml:space="preserve">). Dal 2013 collabora con il TPE di Torino di Beppe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Navello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, lavorando ne </w:t>
      </w:r>
      <w:r w:rsidRPr="00692314">
        <w:rPr>
          <w:rFonts w:ascii="Franklin Gothic Book" w:eastAsia="Calibri" w:hAnsi="Franklin Gothic Book" w:cs="Times New Roman"/>
          <w:i/>
          <w:sz w:val="24"/>
        </w:rPr>
        <w:t>Il divorzio</w:t>
      </w:r>
      <w:r w:rsidRPr="00692314">
        <w:rPr>
          <w:rFonts w:ascii="Franklin Gothic Book" w:eastAsia="Calibri" w:hAnsi="Franklin Gothic Book" w:cs="Times New Roman"/>
          <w:sz w:val="24"/>
        </w:rPr>
        <w:t xml:space="preserve">, di Vittorio Alfieri, e </w:t>
      </w:r>
      <w:r w:rsidRPr="00692314">
        <w:rPr>
          <w:rFonts w:ascii="Franklin Gothic Book" w:eastAsia="Calibri" w:hAnsi="Franklin Gothic Book" w:cs="Times New Roman"/>
          <w:i/>
          <w:sz w:val="24"/>
        </w:rPr>
        <w:t>Il trionfo del Dio Denaro</w:t>
      </w:r>
      <w:r w:rsidRPr="00692314">
        <w:rPr>
          <w:rFonts w:ascii="Franklin Gothic Book" w:eastAsia="Calibri" w:hAnsi="Franklin Gothic Book" w:cs="Times New Roman"/>
          <w:sz w:val="24"/>
        </w:rPr>
        <w:t xml:space="preserve">, di Marivaux, entrambi per la regia di </w:t>
      </w:r>
      <w:proofErr w:type="spellStart"/>
      <w:r w:rsidRPr="00692314">
        <w:rPr>
          <w:rFonts w:ascii="Franklin Gothic Book" w:eastAsia="Calibri" w:hAnsi="Franklin Gothic Book" w:cs="Times New Roman"/>
          <w:sz w:val="24"/>
        </w:rPr>
        <w:t>Navello</w:t>
      </w:r>
      <w:proofErr w:type="spellEnd"/>
      <w:r w:rsidRPr="00692314">
        <w:rPr>
          <w:rFonts w:ascii="Franklin Gothic Book" w:eastAsia="Calibri" w:hAnsi="Franklin Gothic Book" w:cs="Times New Roman"/>
          <w:sz w:val="24"/>
        </w:rPr>
        <w:t xml:space="preserve">; e in </w:t>
      </w:r>
      <w:r w:rsidRPr="00692314">
        <w:rPr>
          <w:rFonts w:ascii="Franklin Gothic Book" w:eastAsia="Calibri" w:hAnsi="Franklin Gothic Book" w:cs="Times New Roman"/>
          <w:i/>
          <w:sz w:val="24"/>
        </w:rPr>
        <w:t>Tre sorelle</w:t>
      </w:r>
      <w:r w:rsidRPr="00692314">
        <w:rPr>
          <w:rFonts w:ascii="Franklin Gothic Book" w:eastAsia="Calibri" w:hAnsi="Franklin Gothic Book" w:cs="Times New Roman"/>
          <w:sz w:val="24"/>
        </w:rPr>
        <w:t xml:space="preserve">, di Cechov, per la regia di Emiliano Bronzino; oltre al più recente </w:t>
      </w:r>
      <w:r w:rsidRPr="00692314">
        <w:rPr>
          <w:rFonts w:ascii="Franklin Gothic Book" w:eastAsia="Calibri" w:hAnsi="Franklin Gothic Book" w:cs="Times New Roman"/>
          <w:i/>
          <w:sz w:val="24"/>
        </w:rPr>
        <w:t>I tre moschettieri</w:t>
      </w:r>
      <w:r w:rsidRPr="00692314">
        <w:rPr>
          <w:rFonts w:ascii="Franklin Gothic Book" w:eastAsia="Calibri" w:hAnsi="Franklin Gothic Book" w:cs="Times New Roman"/>
          <w:sz w:val="24"/>
        </w:rPr>
        <w:t>.</w:t>
      </w:r>
    </w:p>
    <w:p w:rsidR="00692314" w:rsidRPr="00692314" w:rsidRDefault="00692314" w:rsidP="00326059">
      <w:pPr>
        <w:spacing w:after="0" w:line="240" w:lineRule="auto"/>
        <w:rPr>
          <w:rFonts w:ascii="Franklin Gothic Book" w:eastAsia="Calibri" w:hAnsi="Franklin Gothic Book" w:cs="Times New Roman"/>
          <w:sz w:val="24"/>
        </w:rPr>
      </w:pPr>
    </w:p>
    <w:p w:rsidR="00692314" w:rsidRPr="00692314" w:rsidRDefault="00692314" w:rsidP="00326059">
      <w:pPr>
        <w:rPr>
          <w:rFonts w:ascii="Franklin Gothic Book" w:hAnsi="Franklin Gothic Book"/>
        </w:rPr>
      </w:pPr>
      <w:bookmarkStart w:id="0" w:name="_GoBack"/>
      <w:bookmarkEnd w:id="0"/>
    </w:p>
    <w:sectPr w:rsidR="00692314" w:rsidRPr="00692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4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26059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47CD"/>
    <w:rsid w:val="0041121F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92314"/>
    <w:rsid w:val="006A62A4"/>
    <w:rsid w:val="006A75C1"/>
    <w:rsid w:val="006C7D24"/>
    <w:rsid w:val="006E0E03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305E9"/>
    <w:rsid w:val="00F354C4"/>
    <w:rsid w:val="00F43499"/>
    <w:rsid w:val="00F51250"/>
    <w:rsid w:val="00F51AA4"/>
    <w:rsid w:val="00F65810"/>
    <w:rsid w:val="00F85A71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2018-03-23T10:41:00Z</dcterms:created>
  <dcterms:modified xsi:type="dcterms:W3CDTF">2018-03-23T10:45:00Z</dcterms:modified>
</cp:coreProperties>
</file>